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EA51A" w14:textId="77777777" w:rsidR="00B70762" w:rsidRDefault="00B70762" w:rsidP="002E30A6">
      <w:pPr>
        <w:pStyle w:val="BodyText"/>
        <w:spacing w:before="41"/>
        <w:ind w:left="220"/>
        <w:jc w:val="center"/>
        <w:rPr>
          <w:sz w:val="24"/>
          <w:szCs w:val="24"/>
        </w:rPr>
      </w:pPr>
      <w:r>
        <w:rPr>
          <w:sz w:val="24"/>
          <w:szCs w:val="24"/>
        </w:rPr>
        <w:t>OER</w:t>
      </w:r>
      <w:r w:rsidRPr="00284F02">
        <w:rPr>
          <w:sz w:val="24"/>
          <w:szCs w:val="24"/>
        </w:rPr>
        <w:t xml:space="preserve"> LESSON TEMPLATE (Example Only)</w:t>
      </w:r>
    </w:p>
    <w:p w14:paraId="659088B8" w14:textId="77777777" w:rsidR="00B70762" w:rsidRPr="00833339" w:rsidRDefault="00B70762" w:rsidP="002E30A6">
      <w:pPr>
        <w:pStyle w:val="BodyText"/>
        <w:spacing w:before="41"/>
        <w:ind w:left="220"/>
        <w:jc w:val="center"/>
        <w:rPr>
          <w:sz w:val="28"/>
          <w:szCs w:val="28"/>
        </w:rPr>
      </w:pPr>
      <w:r w:rsidRPr="00833339">
        <w:rPr>
          <w:i/>
          <w:sz w:val="28"/>
          <w:szCs w:val="28"/>
        </w:rPr>
        <w:t>Marbury v. Madison</w:t>
      </w:r>
      <w:r w:rsidRPr="00833339">
        <w:rPr>
          <w:sz w:val="28"/>
          <w:szCs w:val="28"/>
        </w:rPr>
        <w:t xml:space="preserve"> and the Politics of the Early Republic</w:t>
      </w:r>
    </w:p>
    <w:p w14:paraId="74D9F679" w14:textId="77777777" w:rsidR="00B70762" w:rsidRPr="00284F02" w:rsidRDefault="00B70762">
      <w:pPr>
        <w:pStyle w:val="BodyText"/>
        <w:spacing w:before="9"/>
        <w:rPr>
          <w:sz w:val="12"/>
          <w:szCs w:val="12"/>
        </w:rPr>
      </w:pPr>
    </w:p>
    <w:tbl>
      <w:tblPr>
        <w:tblW w:w="1048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58" w:type="dxa"/>
          <w:bottom w:w="43" w:type="dxa"/>
          <w:right w:w="58" w:type="dxa"/>
        </w:tblCellMar>
        <w:tblLook w:val="01E0" w:firstRow="1" w:lastRow="1" w:firstColumn="1" w:lastColumn="1" w:noHBand="0" w:noVBand="0"/>
      </w:tblPr>
      <w:tblGrid>
        <w:gridCol w:w="10481"/>
      </w:tblGrid>
      <w:tr w:rsidR="00B70762" w:rsidRPr="00F65742" w14:paraId="467F4A0A" w14:textId="77777777" w:rsidTr="00F65742">
        <w:trPr>
          <w:trHeight w:val="20"/>
        </w:trPr>
        <w:tc>
          <w:tcPr>
            <w:tcW w:w="10481" w:type="dxa"/>
          </w:tcPr>
          <w:p w14:paraId="68D174EB" w14:textId="423888C7" w:rsidR="00B70762" w:rsidRPr="00F65742" w:rsidRDefault="00B70762" w:rsidP="00667714">
            <w:pPr>
              <w:pStyle w:val="TableParagraph"/>
              <w:rPr>
                <w:rFonts w:ascii="Calibri"/>
                <w:b/>
              </w:rPr>
            </w:pPr>
            <w:r w:rsidRPr="00F65742">
              <w:rPr>
                <w:rFonts w:ascii="Calibri" w:eastAsia="Times New Roman"/>
                <w:b/>
              </w:rPr>
              <w:t xml:space="preserve">Class: </w:t>
            </w:r>
            <w:r w:rsidRPr="00F65742">
              <w:rPr>
                <w:rFonts w:ascii="Calibri" w:hAnsi="Calibri"/>
              </w:rPr>
              <w:t xml:space="preserve">AP® US History </w:t>
            </w:r>
            <w:r w:rsidR="00833339" w:rsidRPr="00F65742">
              <w:rPr>
                <w:rFonts w:ascii="Calibri" w:hAnsi="Calibri"/>
              </w:rPr>
              <w:t xml:space="preserve">(other options: </w:t>
            </w:r>
            <w:r w:rsidRPr="00F65742">
              <w:rPr>
                <w:rFonts w:ascii="Calibri" w:hAnsi="Calibri"/>
              </w:rPr>
              <w:t>dual credit US History</w:t>
            </w:r>
            <w:r w:rsidR="00A051B4" w:rsidRPr="00F65742">
              <w:rPr>
                <w:rFonts w:ascii="Calibri" w:hAnsi="Calibri"/>
              </w:rPr>
              <w:t>, AP® US Government and Politics, American Government</w:t>
            </w:r>
            <w:r w:rsidR="00833339" w:rsidRPr="00F65742">
              <w:rPr>
                <w:rFonts w:ascii="Calibri" w:hAnsi="Calibri"/>
              </w:rPr>
              <w:t>)</w:t>
            </w:r>
          </w:p>
        </w:tc>
      </w:tr>
      <w:tr w:rsidR="00B70762" w:rsidRPr="00F65742" w14:paraId="1BBF2FE1" w14:textId="77777777" w:rsidTr="00F65742">
        <w:trPr>
          <w:trHeight w:val="20"/>
        </w:trPr>
        <w:tc>
          <w:tcPr>
            <w:tcW w:w="10481" w:type="dxa"/>
          </w:tcPr>
          <w:p w14:paraId="1C484657" w14:textId="46057B56" w:rsidR="00B70762" w:rsidRPr="00F65742" w:rsidRDefault="00B70762">
            <w:pPr>
              <w:pStyle w:val="TableParagraph"/>
              <w:rPr>
                <w:rFonts w:ascii="Calibri"/>
                <w:b/>
              </w:rPr>
            </w:pPr>
            <w:r w:rsidRPr="00F65742">
              <w:rPr>
                <w:rFonts w:ascii="Calibri" w:eastAsia="Times New Roman"/>
                <w:b/>
              </w:rPr>
              <w:t xml:space="preserve">Unit: </w:t>
            </w:r>
            <w:r w:rsidR="00A051B4" w:rsidRPr="00F65742">
              <w:rPr>
                <w:rFonts w:ascii="Calibri" w:eastAsia="Times New Roman"/>
                <w:bCs/>
              </w:rPr>
              <w:t xml:space="preserve">Options: </w:t>
            </w:r>
            <w:r w:rsidRPr="00F65742">
              <w:rPr>
                <w:rFonts w:ascii="Calibri" w:hAnsi="Calibri"/>
              </w:rPr>
              <w:t xml:space="preserve">The Early </w:t>
            </w:r>
            <w:proofErr w:type="gramStart"/>
            <w:r w:rsidRPr="00F65742">
              <w:rPr>
                <w:rFonts w:ascii="Calibri" w:hAnsi="Calibri"/>
              </w:rPr>
              <w:t>Republic</w:t>
            </w:r>
            <w:r w:rsidR="00A051B4" w:rsidRPr="00F65742">
              <w:rPr>
                <w:rFonts w:ascii="Calibri" w:hAnsi="Calibri"/>
              </w:rPr>
              <w:t>;  The</w:t>
            </w:r>
            <w:proofErr w:type="gramEnd"/>
            <w:r w:rsidR="00A051B4" w:rsidRPr="00F65742">
              <w:rPr>
                <w:rFonts w:ascii="Calibri" w:hAnsi="Calibri"/>
              </w:rPr>
              <w:t xml:space="preserve"> Judiciary, or as a culminating exercise on separation/balance of powers</w:t>
            </w:r>
          </w:p>
        </w:tc>
      </w:tr>
      <w:tr w:rsidR="00B70762" w:rsidRPr="00F65742" w14:paraId="1798572F" w14:textId="77777777" w:rsidTr="00F65742">
        <w:trPr>
          <w:trHeight w:val="20"/>
        </w:trPr>
        <w:tc>
          <w:tcPr>
            <w:tcW w:w="10481" w:type="dxa"/>
          </w:tcPr>
          <w:p w14:paraId="109C8E07" w14:textId="77777777" w:rsidR="00B70762" w:rsidRPr="00F65742" w:rsidRDefault="00B70762">
            <w:pPr>
              <w:pStyle w:val="TableParagraph"/>
              <w:rPr>
                <w:rFonts w:ascii="Calibri" w:eastAsia="Times New Roman"/>
                <w:b/>
              </w:rPr>
            </w:pPr>
            <w:r w:rsidRPr="00F65742">
              <w:rPr>
                <w:rFonts w:ascii="Calibri" w:eastAsia="Times New Roman"/>
                <w:b/>
              </w:rPr>
              <w:t>Lesson Title or Topic</w:t>
            </w:r>
            <w:r w:rsidR="00005F02" w:rsidRPr="00F65742">
              <w:rPr>
                <w:rFonts w:ascii="Calibri" w:eastAsia="Times New Roman"/>
                <w:b/>
              </w:rPr>
              <w:t>/Essential Question</w:t>
            </w:r>
            <w:r w:rsidRPr="00F65742">
              <w:rPr>
                <w:rFonts w:ascii="Calibri" w:eastAsia="Times New Roman"/>
                <w:b/>
              </w:rPr>
              <w:t>:</w:t>
            </w:r>
          </w:p>
          <w:p w14:paraId="61015A5D" w14:textId="77777777" w:rsidR="00B70762" w:rsidRPr="00F65742" w:rsidRDefault="00B70762" w:rsidP="00F4111F">
            <w:pPr>
              <w:pStyle w:val="TableParagraph"/>
              <w:rPr>
                <w:rFonts w:ascii="Calibri"/>
                <w:b/>
              </w:rPr>
            </w:pPr>
            <w:r w:rsidRPr="00F65742">
              <w:rPr>
                <w:rFonts w:ascii="Calibri" w:eastAsia="Times New Roman"/>
              </w:rPr>
              <w:t>What is the lesson</w:t>
            </w:r>
            <w:r w:rsidRPr="00F65742">
              <w:rPr>
                <w:rFonts w:ascii="Calibri" w:eastAsia="Times New Roman"/>
              </w:rPr>
              <w:t>’</w:t>
            </w:r>
            <w:r w:rsidRPr="00F65742">
              <w:rPr>
                <w:rFonts w:ascii="Calibri" w:eastAsia="Times New Roman"/>
              </w:rPr>
              <w:t xml:space="preserve">s Guiding Question or Aim?  Some curriculum designs call this the </w:t>
            </w:r>
            <w:r w:rsidRPr="00F65742">
              <w:rPr>
                <w:rFonts w:ascii="Calibri" w:eastAsia="Times New Roman"/>
              </w:rPr>
              <w:t>“</w:t>
            </w:r>
            <w:r w:rsidRPr="00F65742">
              <w:rPr>
                <w:rFonts w:ascii="Calibri" w:eastAsia="Times New Roman"/>
              </w:rPr>
              <w:t>Essential Question,</w:t>
            </w:r>
            <w:r w:rsidRPr="00F65742">
              <w:rPr>
                <w:rFonts w:ascii="Calibri" w:eastAsia="Times New Roman"/>
              </w:rPr>
              <w:t>”</w:t>
            </w:r>
            <w:r w:rsidRPr="00F65742">
              <w:rPr>
                <w:rFonts w:ascii="Calibri" w:eastAsia="Times New Roman"/>
              </w:rPr>
              <w:t xml:space="preserve"> or </w:t>
            </w:r>
            <w:r w:rsidRPr="00F65742">
              <w:rPr>
                <w:rFonts w:ascii="Calibri" w:eastAsia="Times New Roman"/>
              </w:rPr>
              <w:t>“</w:t>
            </w:r>
            <w:r w:rsidRPr="00F65742">
              <w:rPr>
                <w:rFonts w:ascii="Calibri" w:eastAsia="Times New Roman"/>
              </w:rPr>
              <w:t>Essential Learning,</w:t>
            </w:r>
            <w:r w:rsidRPr="00F65742">
              <w:rPr>
                <w:rFonts w:ascii="Calibri" w:eastAsia="Times New Roman"/>
              </w:rPr>
              <w:t>”</w:t>
            </w:r>
            <w:r w:rsidRPr="00F65742">
              <w:rPr>
                <w:rFonts w:ascii="Calibri" w:eastAsia="Times New Roman"/>
              </w:rPr>
              <w:t xml:space="preserve"> others refer to this as the </w:t>
            </w:r>
            <w:r w:rsidRPr="00F65742">
              <w:rPr>
                <w:rFonts w:ascii="Calibri" w:eastAsia="Times New Roman"/>
              </w:rPr>
              <w:t>“</w:t>
            </w:r>
            <w:r w:rsidRPr="00F65742">
              <w:rPr>
                <w:rFonts w:ascii="Calibri" w:eastAsia="Times New Roman"/>
              </w:rPr>
              <w:t>Enduring Learning.</w:t>
            </w:r>
            <w:r w:rsidRPr="00F65742">
              <w:rPr>
                <w:rFonts w:ascii="Calibri" w:eastAsia="Times New Roman"/>
              </w:rPr>
              <w:t>”</w:t>
            </w:r>
          </w:p>
          <w:p w14:paraId="0BF487FE" w14:textId="77777777" w:rsidR="00B70762" w:rsidRPr="00F65742" w:rsidRDefault="00B70762" w:rsidP="00F4111F">
            <w:pPr>
              <w:pStyle w:val="TableParagraph"/>
              <w:rPr>
                <w:rFonts w:ascii="Calibri"/>
                <w:b/>
              </w:rPr>
            </w:pPr>
          </w:p>
          <w:p w14:paraId="3F11C575" w14:textId="77777777" w:rsidR="00B70762" w:rsidRPr="00F65742" w:rsidRDefault="00B70762">
            <w:pPr>
              <w:pStyle w:val="TableParagraph"/>
              <w:rPr>
                <w:rFonts w:ascii="Calibri" w:hAnsi="Calibri"/>
              </w:rPr>
            </w:pPr>
            <w:r w:rsidRPr="00F65742">
              <w:rPr>
                <w:rFonts w:ascii="Calibri" w:hAnsi="Calibri"/>
              </w:rPr>
              <w:t>Who shall determine what the Constitution means and what it does not mean, what laws and actions of government are permitted and what is not permitted constitutionally?</w:t>
            </w:r>
          </w:p>
          <w:p w14:paraId="27948406" w14:textId="77777777" w:rsidR="00B70762" w:rsidRDefault="00B70762">
            <w:pPr>
              <w:pStyle w:val="TableParagraph"/>
              <w:rPr>
                <w:rFonts w:ascii="Calibri" w:hAnsi="Calibri"/>
              </w:rPr>
            </w:pPr>
            <w:r w:rsidRPr="00F65742">
              <w:rPr>
                <w:rFonts w:ascii="Calibri" w:hAnsi="Calibri"/>
              </w:rPr>
              <w:t xml:space="preserve">How might political factors make such determinations contentious?  Does such a climate reveal anything about the judicial process itself?    </w:t>
            </w:r>
          </w:p>
          <w:p w14:paraId="27D0FD76" w14:textId="25EA4637" w:rsidR="00F65742" w:rsidRPr="00F65742" w:rsidRDefault="00F65742">
            <w:pPr>
              <w:pStyle w:val="TableParagraph"/>
              <w:rPr>
                <w:rFonts w:ascii="Calibri" w:hAnsi="Calibri"/>
              </w:rPr>
            </w:pPr>
          </w:p>
        </w:tc>
      </w:tr>
      <w:tr w:rsidR="00B70762" w:rsidRPr="00F65742" w14:paraId="605B3D79" w14:textId="77777777" w:rsidTr="00F65742">
        <w:trPr>
          <w:trHeight w:val="20"/>
        </w:trPr>
        <w:tc>
          <w:tcPr>
            <w:tcW w:w="10481" w:type="dxa"/>
          </w:tcPr>
          <w:p w14:paraId="4A556C35" w14:textId="77777777" w:rsidR="00B70762" w:rsidRPr="00F65742" w:rsidRDefault="00B70762">
            <w:pPr>
              <w:pStyle w:val="TableParagraph"/>
              <w:rPr>
                <w:rFonts w:ascii="Calibri" w:eastAsia="Times New Roman"/>
                <w:b/>
              </w:rPr>
            </w:pPr>
            <w:r w:rsidRPr="00F65742">
              <w:rPr>
                <w:rFonts w:ascii="Calibri" w:eastAsia="Times New Roman"/>
                <w:b/>
              </w:rPr>
              <w:t xml:space="preserve">Estimated Classroom Time Required for the Lesson:  </w:t>
            </w:r>
          </w:p>
          <w:p w14:paraId="09A4F45C" w14:textId="50D6BA72" w:rsidR="00B70762" w:rsidRPr="00F65742" w:rsidRDefault="00B70762">
            <w:pPr>
              <w:pStyle w:val="TableParagraph"/>
              <w:rPr>
                <w:rFonts w:ascii="Calibri" w:hAnsi="Calibri"/>
              </w:rPr>
            </w:pPr>
            <w:r w:rsidRPr="00F65742">
              <w:rPr>
                <w:rFonts w:ascii="Calibri" w:hAnsi="Calibri"/>
              </w:rPr>
              <w:t>Three Days (50 minutes instruction ea.)</w:t>
            </w:r>
            <w:r w:rsidR="001E7067" w:rsidRPr="00F65742">
              <w:rPr>
                <w:rFonts w:ascii="Calibri" w:hAnsi="Calibri"/>
              </w:rPr>
              <w:t>:</w:t>
            </w:r>
            <w:r w:rsidRPr="00F65742">
              <w:rPr>
                <w:rFonts w:ascii="Calibri" w:hAnsi="Calibri"/>
              </w:rPr>
              <w:t xml:space="preserve"> </w:t>
            </w:r>
          </w:p>
          <w:p w14:paraId="183F25D8" w14:textId="77777777" w:rsidR="00B70762" w:rsidRPr="00F65742" w:rsidRDefault="00B70762">
            <w:pPr>
              <w:pStyle w:val="TableParagraph"/>
              <w:rPr>
                <w:rFonts w:ascii="Calibri" w:hAnsi="Calibri"/>
              </w:rPr>
            </w:pPr>
            <w:r w:rsidRPr="00F65742">
              <w:rPr>
                <w:rFonts w:ascii="Calibri" w:hAnsi="Calibri"/>
              </w:rPr>
              <w:t>Day 1. Introduction and Information (including start of video)</w:t>
            </w:r>
          </w:p>
          <w:p w14:paraId="499BA0B1" w14:textId="77777777" w:rsidR="00B70762" w:rsidRPr="00F65742" w:rsidRDefault="00B70762">
            <w:pPr>
              <w:pStyle w:val="TableParagraph"/>
              <w:rPr>
                <w:rFonts w:ascii="Calibri" w:hAnsi="Calibri"/>
              </w:rPr>
            </w:pPr>
            <w:r w:rsidRPr="00F65742">
              <w:rPr>
                <w:rFonts w:ascii="Calibri" w:hAnsi="Calibri"/>
              </w:rPr>
              <w:t>Day 2. Information (continued), Discussion, Analysis, and Conclusions (takeaway)</w:t>
            </w:r>
          </w:p>
          <w:p w14:paraId="2B51BB62" w14:textId="77777777" w:rsidR="00B70762" w:rsidRDefault="00B70762">
            <w:pPr>
              <w:pStyle w:val="TableParagraph"/>
              <w:rPr>
                <w:rFonts w:ascii="Calibri" w:hAnsi="Calibri"/>
              </w:rPr>
            </w:pPr>
            <w:r w:rsidRPr="00F65742">
              <w:rPr>
                <w:rFonts w:ascii="Calibri" w:hAnsi="Calibri"/>
              </w:rPr>
              <w:t xml:space="preserve">Day 3. Assessment/Looking Ahead </w:t>
            </w:r>
          </w:p>
          <w:p w14:paraId="72707C3E" w14:textId="07999E12" w:rsidR="00F65742" w:rsidRPr="00F65742" w:rsidRDefault="00F65742">
            <w:pPr>
              <w:pStyle w:val="TableParagraph"/>
              <w:rPr>
                <w:rFonts w:ascii="Calibri"/>
                <w:b/>
              </w:rPr>
            </w:pPr>
          </w:p>
        </w:tc>
      </w:tr>
      <w:tr w:rsidR="00B70762" w:rsidRPr="00F65742" w14:paraId="3EBB6DC2" w14:textId="77777777" w:rsidTr="00F65742">
        <w:trPr>
          <w:trHeight w:val="20"/>
        </w:trPr>
        <w:tc>
          <w:tcPr>
            <w:tcW w:w="10481" w:type="dxa"/>
          </w:tcPr>
          <w:p w14:paraId="27523AFA" w14:textId="77777777" w:rsidR="00B70762" w:rsidRPr="00F65742" w:rsidRDefault="00B70762">
            <w:pPr>
              <w:pStyle w:val="TableParagraph"/>
              <w:rPr>
                <w:rFonts w:ascii="Calibri"/>
              </w:rPr>
            </w:pPr>
            <w:r w:rsidRPr="00F65742">
              <w:rPr>
                <w:rFonts w:ascii="Calibri" w:eastAsia="Times New Roman"/>
                <w:b/>
              </w:rPr>
              <w:t xml:space="preserve">Content Standard Alignment: </w:t>
            </w:r>
          </w:p>
          <w:p w14:paraId="18AD5181" w14:textId="77777777" w:rsidR="00B70762" w:rsidRPr="00F65742" w:rsidRDefault="00B70762">
            <w:pPr>
              <w:pStyle w:val="TableParagraph"/>
              <w:rPr>
                <w:rFonts w:ascii="Calibri" w:eastAsia="Times New Roman"/>
              </w:rPr>
            </w:pPr>
            <w:r w:rsidRPr="00F65742">
              <w:rPr>
                <w:rFonts w:ascii="Calibri" w:eastAsia="Times New Roman"/>
              </w:rPr>
              <w:t>What core skills/content knowledge will be introduced or reinforced during this lesson?  Which content area standards are addressed in this lesson?  Cite the appropriate curriculum and/or standards reference (district, state, CCSS ELA, etc.).  These references can be expressed in narrative or by numerical reference, provided the citation is explicit and clear.</w:t>
            </w:r>
          </w:p>
          <w:p w14:paraId="4C1C7CAE" w14:textId="77777777" w:rsidR="00B70762" w:rsidRPr="00F65742" w:rsidRDefault="00B70762">
            <w:pPr>
              <w:pStyle w:val="TableParagraph"/>
              <w:rPr>
                <w:rFonts w:ascii="Calibri" w:eastAsia="Times New Roman"/>
              </w:rPr>
            </w:pPr>
          </w:p>
          <w:p w14:paraId="7BE80F9A" w14:textId="77777777" w:rsidR="00B70762" w:rsidRPr="00F65742" w:rsidRDefault="00B70762">
            <w:pPr>
              <w:pStyle w:val="TableParagraph"/>
              <w:rPr>
                <w:rFonts w:ascii="Calibri" w:hAnsi="Calibri"/>
              </w:rPr>
            </w:pPr>
            <w:r w:rsidRPr="00F65742">
              <w:rPr>
                <w:rFonts w:ascii="Calibri" w:hAnsi="Calibri"/>
              </w:rPr>
              <w:t>Idaho Content Standards for U.S. History I: Standard 4, Goal 1, Objective 2 (USI.4.1.2); Goal 2, Objective 1 (USI.4.2.1)</w:t>
            </w:r>
          </w:p>
          <w:p w14:paraId="10AB7278" w14:textId="77777777" w:rsidR="00B70762" w:rsidRPr="00F65742" w:rsidRDefault="00B70762">
            <w:pPr>
              <w:pStyle w:val="TableParagraph"/>
              <w:rPr>
                <w:rFonts w:ascii="Calibri" w:hAnsi="Calibri"/>
              </w:rPr>
            </w:pPr>
          </w:p>
          <w:p w14:paraId="6698DC49" w14:textId="77777777" w:rsidR="00B70762" w:rsidRDefault="00B70762">
            <w:pPr>
              <w:pStyle w:val="TableParagraph"/>
              <w:rPr>
                <w:rFonts w:ascii="Calibri" w:hAnsi="Calibri"/>
              </w:rPr>
            </w:pPr>
            <w:r w:rsidRPr="00F65742">
              <w:rPr>
                <w:rFonts w:ascii="Calibri" w:hAnsi="Calibri"/>
              </w:rPr>
              <w:t>Note:  The standards enumerated above are state-specific.  Appropriate CCSS ELA Literacy “skills” standards can also be cited as practiced in this lesson (e.g., CCSS.ELA-Literacy.RH.11-12.1-10).</w:t>
            </w:r>
          </w:p>
          <w:p w14:paraId="1C53323F" w14:textId="798E63D5" w:rsidR="00F65742" w:rsidRPr="00F65742" w:rsidRDefault="00F65742">
            <w:pPr>
              <w:pStyle w:val="TableParagraph"/>
              <w:rPr>
                <w:rFonts w:ascii="Calibri" w:hAnsi="Calibri"/>
              </w:rPr>
            </w:pPr>
          </w:p>
        </w:tc>
      </w:tr>
      <w:tr w:rsidR="00B70762" w:rsidRPr="00F65742" w14:paraId="3AA454D1" w14:textId="77777777" w:rsidTr="00F65742">
        <w:trPr>
          <w:trHeight w:val="20"/>
        </w:trPr>
        <w:tc>
          <w:tcPr>
            <w:tcW w:w="10481" w:type="dxa"/>
          </w:tcPr>
          <w:p w14:paraId="376E8145" w14:textId="77777777" w:rsidR="00B70762" w:rsidRPr="00F65742" w:rsidRDefault="00B70762">
            <w:pPr>
              <w:pStyle w:val="TableParagraph"/>
              <w:rPr>
                <w:i/>
              </w:rPr>
            </w:pPr>
            <w:r w:rsidRPr="00F65742">
              <w:rPr>
                <w:rFonts w:ascii="Calibri" w:eastAsia="Times New Roman"/>
                <w:b/>
              </w:rPr>
              <w:t>Lesson Objectives/Instructional Outcomes:</w:t>
            </w:r>
          </w:p>
          <w:p w14:paraId="25620D15" w14:textId="77777777" w:rsidR="00B70762" w:rsidRPr="00F65742" w:rsidRDefault="00B70762">
            <w:pPr>
              <w:pStyle w:val="TableParagraph"/>
              <w:spacing w:line="240" w:lineRule="auto"/>
              <w:ind w:right="261"/>
              <w:rPr>
                <w:rFonts w:ascii="Calibri" w:hAnsi="Calibri"/>
              </w:rPr>
            </w:pPr>
            <w:r w:rsidRPr="00F65742">
              <w:rPr>
                <w:rFonts w:ascii="Calibri" w:hAnsi="Calibri"/>
              </w:rPr>
              <w:t xml:space="preserve">What learning objectives/main ideas do students need to know (maximum of </w:t>
            </w:r>
            <w:r w:rsidR="00480F8D" w:rsidRPr="00F65742">
              <w:rPr>
                <w:rFonts w:ascii="Calibri" w:hAnsi="Calibri"/>
              </w:rPr>
              <w:t>three</w:t>
            </w:r>
            <w:r w:rsidRPr="00F65742">
              <w:rPr>
                <w:rFonts w:ascii="Calibri" w:hAnsi="Calibri"/>
              </w:rPr>
              <w:t>)?  Outline the concept, knowledge, skill, or application students can demonstrate upon lesson completion.  This may be the same as or very similar to the content standard; however, it could be narrower or perhaps broader.  Objectives may be stated in the form of critical questions students should be able to answer.</w:t>
            </w:r>
          </w:p>
          <w:p w14:paraId="3D9CB060" w14:textId="77777777" w:rsidR="00B70762" w:rsidRPr="00F65742" w:rsidRDefault="00B70762">
            <w:pPr>
              <w:pStyle w:val="TableParagraph"/>
              <w:spacing w:line="240" w:lineRule="auto"/>
              <w:ind w:right="261"/>
              <w:rPr>
                <w:rFonts w:ascii="Calibri" w:hAnsi="Calibri"/>
              </w:rPr>
            </w:pPr>
          </w:p>
          <w:p w14:paraId="3F27333C" w14:textId="77777777" w:rsidR="00B70762" w:rsidRPr="00F65742" w:rsidRDefault="00B70762" w:rsidP="008C5569">
            <w:pPr>
              <w:pStyle w:val="TableParagraph"/>
              <w:spacing w:line="240" w:lineRule="auto"/>
              <w:ind w:right="261"/>
              <w:rPr>
                <w:rFonts w:ascii="Calibri" w:hAnsi="Calibri"/>
              </w:rPr>
            </w:pPr>
            <w:r w:rsidRPr="00F65742">
              <w:rPr>
                <w:rFonts w:ascii="Calibri" w:hAnsi="Calibri"/>
              </w:rPr>
              <w:t xml:space="preserve">Students will use </w:t>
            </w:r>
            <w:r w:rsidRPr="00F65742">
              <w:rPr>
                <w:rFonts w:ascii="Calibri" w:hAnsi="Calibri"/>
                <w:i/>
              </w:rPr>
              <w:t>accurate information, reasoned analysis, and persuasive argument supported by appropriate examples/illustrations</w:t>
            </w:r>
            <w:r w:rsidRPr="00F65742">
              <w:rPr>
                <w:rFonts w:ascii="Calibri" w:hAnsi="Calibri"/>
              </w:rPr>
              <w:t xml:space="preserve"> to answer the following prompts:</w:t>
            </w:r>
          </w:p>
          <w:p w14:paraId="5DE54EE6" w14:textId="77777777" w:rsidR="00B70762" w:rsidRPr="00F65742" w:rsidRDefault="00B70762" w:rsidP="00B54E16">
            <w:pPr>
              <w:pStyle w:val="TableParagraph"/>
              <w:numPr>
                <w:ilvl w:val="0"/>
                <w:numId w:val="5"/>
              </w:numPr>
              <w:spacing w:line="240" w:lineRule="auto"/>
              <w:ind w:right="261"/>
              <w:rPr>
                <w:rFonts w:ascii="Calibri" w:hAnsi="Calibri"/>
              </w:rPr>
            </w:pPr>
            <w:r w:rsidRPr="00F65742">
              <w:rPr>
                <w:rFonts w:ascii="Calibri" w:hAnsi="Calibri"/>
              </w:rPr>
              <w:t>What does judicial review mean, and why does that authority rest with the judiciary?</w:t>
            </w:r>
          </w:p>
          <w:p w14:paraId="0A3995EC" w14:textId="77777777" w:rsidR="00B70762" w:rsidRDefault="00B70762" w:rsidP="00B54E16">
            <w:pPr>
              <w:pStyle w:val="TableParagraph"/>
              <w:numPr>
                <w:ilvl w:val="0"/>
                <w:numId w:val="5"/>
              </w:numPr>
              <w:spacing w:line="240" w:lineRule="auto"/>
              <w:ind w:right="261"/>
              <w:rPr>
                <w:rFonts w:ascii="Calibri" w:hAnsi="Calibri"/>
              </w:rPr>
            </w:pPr>
            <w:r w:rsidRPr="00F65742">
              <w:rPr>
                <w:rFonts w:ascii="Calibri" w:hAnsi="Calibri"/>
              </w:rPr>
              <w:t xml:space="preserve">Assess the validity of the following statement.  Placed in its historical context, the case of </w:t>
            </w:r>
            <w:r w:rsidRPr="00F65742">
              <w:rPr>
                <w:rFonts w:ascii="Calibri" w:hAnsi="Calibri"/>
                <w:i/>
              </w:rPr>
              <w:t>Marbury v. Madison</w:t>
            </w:r>
            <w:r w:rsidRPr="00F65742">
              <w:rPr>
                <w:rFonts w:ascii="Calibri" w:hAnsi="Calibri"/>
              </w:rPr>
              <w:t xml:space="preserve"> illustrates both the independence of the judiciary and the public perception that political (or public) opinion has influence on judicial decision-making.   </w:t>
            </w:r>
          </w:p>
          <w:p w14:paraId="4110C00C" w14:textId="1147CABE" w:rsidR="00F65742" w:rsidRPr="00F65742" w:rsidRDefault="00F65742" w:rsidP="00F65742">
            <w:pPr>
              <w:pStyle w:val="TableParagraph"/>
              <w:spacing w:line="240" w:lineRule="auto"/>
              <w:ind w:left="823" w:right="261"/>
              <w:rPr>
                <w:rFonts w:ascii="Calibri" w:hAnsi="Calibri"/>
              </w:rPr>
            </w:pPr>
          </w:p>
        </w:tc>
      </w:tr>
      <w:tr w:rsidR="00B70762" w:rsidRPr="00F65742" w14:paraId="53523548" w14:textId="77777777" w:rsidTr="00F65742">
        <w:trPr>
          <w:trHeight w:val="20"/>
        </w:trPr>
        <w:tc>
          <w:tcPr>
            <w:tcW w:w="10481" w:type="dxa"/>
          </w:tcPr>
          <w:p w14:paraId="4D56A234" w14:textId="77777777" w:rsidR="00B70762" w:rsidRPr="00F65742" w:rsidRDefault="00B70762">
            <w:pPr>
              <w:pStyle w:val="TableParagraph"/>
              <w:rPr>
                <w:i/>
              </w:rPr>
            </w:pPr>
            <w:r w:rsidRPr="00F65742">
              <w:rPr>
                <w:rFonts w:ascii="Calibri" w:eastAsia="Times New Roman"/>
                <w:b/>
              </w:rPr>
              <w:t>Lesson</w:t>
            </w:r>
            <w:r w:rsidRPr="00F65742">
              <w:rPr>
                <w:rFonts w:ascii="Calibri" w:eastAsia="Times New Roman"/>
                <w:b/>
              </w:rPr>
              <w:t>’</w:t>
            </w:r>
            <w:r w:rsidRPr="00F65742">
              <w:rPr>
                <w:rFonts w:ascii="Calibri" w:eastAsia="Times New Roman"/>
                <w:b/>
              </w:rPr>
              <w:t xml:space="preserve">s Relationship to Unit Structure: </w:t>
            </w:r>
          </w:p>
          <w:p w14:paraId="0F997B49" w14:textId="3AB23D4B" w:rsidR="00B70762" w:rsidRDefault="00B70762">
            <w:pPr>
              <w:pStyle w:val="TableParagraph"/>
              <w:spacing w:before="31" w:line="240" w:lineRule="auto"/>
              <w:ind w:right="402"/>
              <w:rPr>
                <w:rFonts w:ascii="Calibri" w:hAnsi="Calibri"/>
              </w:rPr>
            </w:pPr>
            <w:r w:rsidRPr="00F65742">
              <w:rPr>
                <w:rFonts w:ascii="Calibri" w:hAnsi="Calibri"/>
              </w:rPr>
              <w:t xml:space="preserve">Build context </w:t>
            </w:r>
            <w:r w:rsidR="00F30A16" w:rsidRPr="00F65742">
              <w:rPr>
                <w:rFonts w:ascii="Calibri" w:hAnsi="Calibri"/>
              </w:rPr>
              <w:t xml:space="preserve">and coherence </w:t>
            </w:r>
            <w:r w:rsidRPr="00F65742">
              <w:rPr>
                <w:rFonts w:ascii="Calibri" w:hAnsi="Calibri"/>
              </w:rPr>
              <w:t>for the lesson by making connections with previous and future lessons</w:t>
            </w:r>
            <w:r w:rsidR="00480F8D" w:rsidRPr="00F65742">
              <w:rPr>
                <w:rFonts w:ascii="Calibri" w:hAnsi="Calibri"/>
              </w:rPr>
              <w:t>.</w:t>
            </w:r>
            <w:r w:rsidRPr="00F65742">
              <w:rPr>
                <w:rFonts w:ascii="Calibri" w:hAnsi="Calibri"/>
              </w:rPr>
              <w:t xml:space="preserve">  How does this lesson support the unit goals/enduring understandings?  How does this lesson build on the previous lesson in this instructional sequence?  How does this lesson support the next lesson in this instructional sequence?  List key concepts and terminology necessary for students to understand the concepts as well as meet the standards, goals, and objectives of the lesson. </w:t>
            </w:r>
          </w:p>
          <w:p w14:paraId="62E640E8" w14:textId="77777777" w:rsidR="00F65742" w:rsidRPr="00F65742" w:rsidRDefault="00F65742">
            <w:pPr>
              <w:pStyle w:val="TableParagraph"/>
              <w:spacing w:before="31" w:line="240" w:lineRule="auto"/>
              <w:ind w:right="402"/>
              <w:rPr>
                <w:rFonts w:ascii="Calibri" w:hAnsi="Calibri"/>
              </w:rPr>
            </w:pPr>
          </w:p>
          <w:p w14:paraId="0E1B638F" w14:textId="77777777" w:rsidR="00B70762" w:rsidRPr="00F65742" w:rsidRDefault="00B70762">
            <w:pPr>
              <w:pStyle w:val="TableParagraph"/>
              <w:spacing w:before="31" w:line="240" w:lineRule="auto"/>
              <w:ind w:right="402"/>
              <w:rPr>
                <w:rFonts w:ascii="Calibri" w:hAnsi="Calibri"/>
                <w:b/>
                <w:bCs/>
                <w:color w:val="333333"/>
              </w:rPr>
            </w:pPr>
            <w:r w:rsidRPr="00F65742">
              <w:rPr>
                <w:rFonts w:ascii="Calibri" w:hAnsi="Calibri"/>
                <w:b/>
                <w:bCs/>
                <w:color w:val="333333"/>
              </w:rPr>
              <w:t>Connections to previous lessons, prior reading, and assignments:</w:t>
            </w:r>
          </w:p>
          <w:p w14:paraId="4BC715BA" w14:textId="5E39295E" w:rsidR="00B70762" w:rsidRDefault="00B70762">
            <w:pPr>
              <w:pStyle w:val="TableParagraph"/>
              <w:spacing w:before="31" w:line="240" w:lineRule="auto"/>
              <w:ind w:right="402"/>
              <w:rPr>
                <w:rFonts w:ascii="Calibri" w:hAnsi="Calibri"/>
                <w:color w:val="333333"/>
              </w:rPr>
            </w:pPr>
            <w:r w:rsidRPr="00F65742">
              <w:rPr>
                <w:rFonts w:ascii="Calibri" w:hAnsi="Calibri"/>
                <w:color w:val="333333"/>
              </w:rPr>
              <w:lastRenderedPageBreak/>
              <w:t>The lesson builds on students’ knowledge of the Constitution of the United States (particularly Article III), Federalist policies, and the emergence of political parties and party rivalries (partisanship) during the presidencies of John Adams and Thomas Jefferson.</w:t>
            </w:r>
          </w:p>
          <w:p w14:paraId="51F4E28C" w14:textId="77777777" w:rsidR="00F65742" w:rsidRPr="00F65742" w:rsidRDefault="00F65742">
            <w:pPr>
              <w:pStyle w:val="TableParagraph"/>
              <w:spacing w:before="31" w:line="240" w:lineRule="auto"/>
              <w:ind w:right="402"/>
              <w:rPr>
                <w:rFonts w:ascii="Calibri" w:hAnsi="Calibri"/>
                <w:color w:val="333333"/>
              </w:rPr>
            </w:pPr>
          </w:p>
          <w:p w14:paraId="2F9963ED" w14:textId="77777777" w:rsidR="00B70762" w:rsidRPr="00F65742" w:rsidRDefault="00B70762">
            <w:pPr>
              <w:pStyle w:val="TableParagraph"/>
              <w:spacing w:before="31" w:line="240" w:lineRule="auto"/>
              <w:ind w:right="402"/>
              <w:rPr>
                <w:rFonts w:ascii="Calibri" w:hAnsi="Calibri"/>
                <w:b/>
                <w:bCs/>
                <w:color w:val="333333"/>
              </w:rPr>
            </w:pPr>
            <w:r w:rsidRPr="00F65742">
              <w:rPr>
                <w:rFonts w:ascii="Calibri" w:hAnsi="Calibri"/>
                <w:b/>
                <w:bCs/>
                <w:color w:val="333333"/>
              </w:rPr>
              <w:t>This lesson:</w:t>
            </w:r>
          </w:p>
          <w:p w14:paraId="2A9B4F65" w14:textId="38446B00" w:rsidR="00B70762" w:rsidRPr="00F65742" w:rsidRDefault="00B70762">
            <w:pPr>
              <w:pStyle w:val="TableParagraph"/>
              <w:spacing w:before="31" w:line="240" w:lineRule="auto"/>
              <w:ind w:right="402"/>
              <w:rPr>
                <w:rFonts w:ascii="Calibri" w:hAnsi="Calibri"/>
                <w:color w:val="333333"/>
              </w:rPr>
            </w:pPr>
            <w:r w:rsidRPr="00F65742">
              <w:rPr>
                <w:rFonts w:ascii="Calibri" w:hAnsi="Calibri"/>
                <w:color w:val="333333"/>
              </w:rPr>
              <w:t xml:space="preserve">Students identify and explore transitional issues as the so-called Federal Era ends and Jeffersonian ideas/ideals conflict with Federalist policies.  The Supreme Court’s </w:t>
            </w:r>
            <w:r w:rsidR="00631470" w:rsidRPr="00F65742">
              <w:rPr>
                <w:rFonts w:ascii="Calibri" w:hAnsi="Calibri"/>
                <w:color w:val="333333"/>
              </w:rPr>
              <w:t>exercise</w:t>
            </w:r>
            <w:r w:rsidRPr="00F65742">
              <w:rPr>
                <w:rFonts w:ascii="Calibri" w:hAnsi="Calibri"/>
                <w:color w:val="333333"/>
              </w:rPr>
              <w:t xml:space="preserve"> of judicial review </w:t>
            </w:r>
            <w:r w:rsidR="00631470" w:rsidRPr="00F65742">
              <w:rPr>
                <w:rFonts w:ascii="Calibri" w:hAnsi="Calibri"/>
                <w:color w:val="333333"/>
              </w:rPr>
              <w:t xml:space="preserve">in this case </w:t>
            </w:r>
            <w:r w:rsidRPr="00F65742">
              <w:rPr>
                <w:rFonts w:ascii="Calibri" w:hAnsi="Calibri"/>
                <w:color w:val="333333"/>
              </w:rPr>
              <w:t>might be viewed, in part, as an outcome of this tension and certainly is seen</w:t>
            </w:r>
            <w:r w:rsidRPr="00F65742">
              <w:rPr>
                <w:rFonts w:ascii="Calibri" w:hAnsi="Calibri"/>
                <w:i/>
                <w:color w:val="333333"/>
              </w:rPr>
              <w:t xml:space="preserve"> </w:t>
            </w:r>
            <w:r w:rsidRPr="00F65742">
              <w:rPr>
                <w:rFonts w:ascii="Calibri" w:hAnsi="Calibri"/>
                <w:color w:val="333333"/>
              </w:rPr>
              <w:t>as consequential in establishing the judiciary as a co-equal branch of government.</w:t>
            </w:r>
          </w:p>
          <w:p w14:paraId="2341966E" w14:textId="77777777" w:rsidR="00B70762" w:rsidRPr="00F65742" w:rsidRDefault="00B70762">
            <w:pPr>
              <w:pStyle w:val="TableParagraph"/>
              <w:spacing w:before="31" w:line="240" w:lineRule="auto"/>
              <w:ind w:right="402"/>
              <w:rPr>
                <w:rFonts w:ascii="Calibri" w:hAnsi="Calibri"/>
                <w:color w:val="333333"/>
              </w:rPr>
            </w:pPr>
            <w:r w:rsidRPr="00F65742">
              <w:rPr>
                <w:rFonts w:ascii="Calibri" w:hAnsi="Calibri"/>
                <w:color w:val="333333"/>
              </w:rPr>
              <w:t>Foundation for future lessons:</w:t>
            </w:r>
          </w:p>
          <w:p w14:paraId="41DA6EBB" w14:textId="77777777" w:rsidR="00B70762" w:rsidRDefault="00B70762">
            <w:pPr>
              <w:pStyle w:val="TableParagraph"/>
              <w:spacing w:before="31" w:line="240" w:lineRule="auto"/>
              <w:ind w:right="402"/>
              <w:rPr>
                <w:rFonts w:ascii="Calibri" w:hAnsi="Calibri"/>
                <w:color w:val="333333"/>
              </w:rPr>
            </w:pPr>
            <w:r w:rsidRPr="00F65742">
              <w:rPr>
                <w:rFonts w:ascii="Calibri" w:hAnsi="Calibri"/>
                <w:color w:val="333333"/>
              </w:rPr>
              <w:t xml:space="preserve">The lesson foreshadows strengthening of the judicial branch, lays groundwork for the examination of future decisions of the Court (e.g., </w:t>
            </w:r>
            <w:r w:rsidRPr="00F65742">
              <w:rPr>
                <w:rFonts w:ascii="Calibri" w:hAnsi="Calibri"/>
                <w:i/>
                <w:color w:val="333333"/>
              </w:rPr>
              <w:t>Dred Scott v. Sanford</w:t>
            </w:r>
            <w:r w:rsidRPr="00F65742">
              <w:rPr>
                <w:rFonts w:ascii="Calibri" w:hAnsi="Calibri"/>
                <w:color w:val="333333"/>
              </w:rPr>
              <w:t>), introduces the concept of judicial activism, and exposes deep historic roots of the public’s perception that political rivalries/partisanship may affect even the judiciary and its decisions.</w:t>
            </w:r>
          </w:p>
          <w:p w14:paraId="2634D167" w14:textId="3AA4082D" w:rsidR="00F65742" w:rsidRPr="00F65742" w:rsidRDefault="00F65742">
            <w:pPr>
              <w:pStyle w:val="TableParagraph"/>
              <w:spacing w:before="31" w:line="240" w:lineRule="auto"/>
              <w:ind w:right="402"/>
              <w:rPr>
                <w:rFonts w:ascii="Calibri" w:hAnsi="Calibri"/>
              </w:rPr>
            </w:pPr>
          </w:p>
        </w:tc>
      </w:tr>
      <w:tr w:rsidR="00B70762" w:rsidRPr="00F65742" w14:paraId="3C01B8BB" w14:textId="77777777" w:rsidTr="00F65742">
        <w:trPr>
          <w:trHeight w:val="20"/>
        </w:trPr>
        <w:tc>
          <w:tcPr>
            <w:tcW w:w="10481" w:type="dxa"/>
          </w:tcPr>
          <w:p w14:paraId="13D2F555" w14:textId="77777777" w:rsidR="00B70762" w:rsidRPr="00F65742" w:rsidRDefault="00B70762">
            <w:pPr>
              <w:pStyle w:val="TableParagraph"/>
              <w:rPr>
                <w:i/>
              </w:rPr>
            </w:pPr>
            <w:r w:rsidRPr="00F65742">
              <w:rPr>
                <w:rFonts w:ascii="Calibri" w:eastAsia="Times New Roman"/>
                <w:b/>
              </w:rPr>
              <w:lastRenderedPageBreak/>
              <w:t>Instructional Materials/Resources:</w:t>
            </w:r>
          </w:p>
          <w:p w14:paraId="1F1A801E" w14:textId="77777777" w:rsidR="00B70762" w:rsidRPr="00F65742" w:rsidRDefault="00B70762">
            <w:pPr>
              <w:pStyle w:val="TableParagraph"/>
              <w:spacing w:line="240" w:lineRule="auto"/>
              <w:ind w:right="216"/>
              <w:rPr>
                <w:rFonts w:ascii="Calibri" w:hAnsi="Calibri"/>
              </w:rPr>
            </w:pPr>
            <w:r w:rsidRPr="00F65742">
              <w:rPr>
                <w:rFonts w:ascii="Calibri" w:hAnsi="Calibri"/>
              </w:rPr>
              <w:t>What academic and content specific vocabulary is introduced in this lesson?  What materials (e.g., activity sheet, map, song) will be presented to students?  Any accompanying “reading” should be considered an activity sheet, as it should include focus questions or tasks that make the purpose of the reading clear and/or guide students’ reading.  List all the materials and resources required by the teacher and/or students; include preparation or other special instructions.</w:t>
            </w:r>
          </w:p>
          <w:p w14:paraId="56B1C841" w14:textId="77777777" w:rsidR="00B70762" w:rsidRPr="00F65742" w:rsidRDefault="00B70762" w:rsidP="00565A73">
            <w:pPr>
              <w:pStyle w:val="TableParagraph"/>
              <w:spacing w:line="240" w:lineRule="auto"/>
              <w:ind w:right="216"/>
              <w:rPr>
                <w:rFonts w:ascii="Calibri" w:hAnsi="Calibri"/>
              </w:rPr>
            </w:pPr>
          </w:p>
          <w:p w14:paraId="7D5C38C8" w14:textId="77777777" w:rsidR="00B70762" w:rsidRPr="00F65742" w:rsidRDefault="00B70762" w:rsidP="00F7310E">
            <w:pPr>
              <w:pStyle w:val="TableParagraph"/>
              <w:spacing w:line="240" w:lineRule="auto"/>
              <w:ind w:right="216"/>
              <w:rPr>
                <w:rFonts w:ascii="Calibri" w:hAnsi="Calibri"/>
                <w:b/>
                <w:bCs/>
              </w:rPr>
            </w:pPr>
            <w:r w:rsidRPr="00F65742">
              <w:rPr>
                <w:rFonts w:ascii="Calibri" w:hAnsi="Calibri"/>
                <w:b/>
                <w:bCs/>
              </w:rPr>
              <w:t xml:space="preserve">Resources: </w:t>
            </w:r>
          </w:p>
          <w:p w14:paraId="55FB4252" w14:textId="77777777" w:rsidR="00B70762" w:rsidRPr="00F65742" w:rsidRDefault="00B70762" w:rsidP="00626B37">
            <w:pPr>
              <w:pStyle w:val="TableParagraph"/>
              <w:numPr>
                <w:ilvl w:val="0"/>
                <w:numId w:val="2"/>
              </w:numPr>
              <w:spacing w:line="240" w:lineRule="auto"/>
              <w:ind w:right="216"/>
              <w:rPr>
                <w:rFonts w:ascii="Calibri" w:hAnsi="Calibri"/>
              </w:rPr>
            </w:pPr>
            <w:r w:rsidRPr="00F65742">
              <w:rPr>
                <w:rFonts w:ascii="Calibri" w:hAnsi="Calibri"/>
              </w:rPr>
              <w:t>Related reading assignments from the adopted course text (a variable</w:t>
            </w:r>
            <w:proofErr w:type="gramStart"/>
            <w:r w:rsidRPr="00F65742">
              <w:rPr>
                <w:rFonts w:ascii="Calibri" w:hAnsi="Calibri"/>
              </w:rPr>
              <w:t>);</w:t>
            </w:r>
            <w:proofErr w:type="gramEnd"/>
          </w:p>
          <w:p w14:paraId="232C32C3" w14:textId="77777777" w:rsidR="00B70762" w:rsidRPr="00F65742" w:rsidRDefault="00B70762" w:rsidP="00626B37">
            <w:pPr>
              <w:pStyle w:val="TableParagraph"/>
              <w:numPr>
                <w:ilvl w:val="0"/>
                <w:numId w:val="2"/>
              </w:numPr>
              <w:spacing w:line="240" w:lineRule="auto"/>
              <w:ind w:right="216"/>
              <w:rPr>
                <w:rFonts w:ascii="Calibri" w:hAnsi="Calibri"/>
              </w:rPr>
            </w:pPr>
            <w:r w:rsidRPr="00F65742">
              <w:rPr>
                <w:rFonts w:ascii="Calibri" w:hAnsi="Calibri"/>
              </w:rPr>
              <w:t xml:space="preserve">Selected primary source documents (e.g., Chief Justice John Marshall’s opinion in the </w:t>
            </w:r>
            <w:r w:rsidRPr="00F65742">
              <w:rPr>
                <w:rFonts w:ascii="Calibri" w:hAnsi="Calibri"/>
                <w:i/>
              </w:rPr>
              <w:t>Marbury v. Madison</w:t>
            </w:r>
            <w:r w:rsidRPr="00F65742">
              <w:rPr>
                <w:rFonts w:ascii="Calibri" w:hAnsi="Calibri"/>
              </w:rPr>
              <w:t xml:space="preserve"> case – free use is provided by sites such as OYEZ and the Bill of Rights Institute); Video </w:t>
            </w:r>
            <w:r w:rsidRPr="00F65742">
              <w:rPr>
                <w:rFonts w:ascii="Calibri" w:hAnsi="Calibri"/>
                <w:i/>
              </w:rPr>
              <w:t>Marbury v. Madison</w:t>
            </w:r>
            <w:r w:rsidRPr="00F65742">
              <w:rPr>
                <w:rFonts w:ascii="Calibri" w:hAnsi="Calibri"/>
              </w:rPr>
              <w:t xml:space="preserve">, produced by the Judicial Conference of the United States (1977), free for public use and widely available on the </w:t>
            </w:r>
            <w:proofErr w:type="gramStart"/>
            <w:r w:rsidRPr="00F65742">
              <w:rPr>
                <w:rFonts w:ascii="Calibri" w:hAnsi="Calibri"/>
              </w:rPr>
              <w:t>internet;</w:t>
            </w:r>
            <w:proofErr w:type="gramEnd"/>
          </w:p>
          <w:p w14:paraId="71A416B0" w14:textId="77777777" w:rsidR="00B70762" w:rsidRPr="00F65742" w:rsidRDefault="00B70762" w:rsidP="00626B37">
            <w:pPr>
              <w:pStyle w:val="TableParagraph"/>
              <w:numPr>
                <w:ilvl w:val="0"/>
                <w:numId w:val="2"/>
              </w:numPr>
              <w:spacing w:line="240" w:lineRule="auto"/>
              <w:ind w:right="216"/>
              <w:rPr>
                <w:rFonts w:ascii="Calibri" w:hAnsi="Calibri"/>
              </w:rPr>
            </w:pPr>
            <w:r w:rsidRPr="00F65742">
              <w:rPr>
                <w:rFonts w:ascii="Calibri" w:hAnsi="Calibri"/>
              </w:rPr>
              <w:t>Associated focus questions to guide students’ viewing and analysis of the video (What was the basis for Marbury’s claim, and why did he file suit in the Supreme Court of the United States? Suggest a reason/reasons why Marbury’s commission was withheld by Jefferson’s administration? What in the film suggests that political considerations may have influenced the Court’s approach to, deliberations on, and disposition of this case?  What was the Court’s decision?  Summarize the Chief Justice’s opinion in the case.</w:t>
            </w:r>
            <w:proofErr w:type="gramStart"/>
            <w:r w:rsidRPr="00F65742">
              <w:rPr>
                <w:rFonts w:ascii="Calibri" w:hAnsi="Calibri"/>
              </w:rPr>
              <w:t>);</w:t>
            </w:r>
            <w:proofErr w:type="gramEnd"/>
          </w:p>
          <w:p w14:paraId="3F075274" w14:textId="77777777" w:rsidR="00B70762" w:rsidRPr="00F65742" w:rsidRDefault="00B70762" w:rsidP="00626B37">
            <w:pPr>
              <w:pStyle w:val="TableParagraph"/>
              <w:numPr>
                <w:ilvl w:val="0"/>
                <w:numId w:val="2"/>
              </w:numPr>
              <w:spacing w:line="240" w:lineRule="auto"/>
              <w:ind w:right="216"/>
              <w:rPr>
                <w:rFonts w:ascii="Calibri" w:hAnsi="Calibri"/>
              </w:rPr>
            </w:pPr>
            <w:r w:rsidRPr="00F65742">
              <w:rPr>
                <w:rFonts w:ascii="Calibri" w:hAnsi="Calibri"/>
                <w:i/>
              </w:rPr>
              <w:t>Optional</w:t>
            </w:r>
            <w:r w:rsidRPr="00F65742">
              <w:rPr>
                <w:rFonts w:ascii="Calibri" w:hAnsi="Calibri"/>
              </w:rPr>
              <w:t xml:space="preserve"> assessment prompts (see Enrichments, below</w:t>
            </w:r>
            <w:proofErr w:type="gramStart"/>
            <w:r w:rsidRPr="00F65742">
              <w:rPr>
                <w:rFonts w:ascii="Calibri" w:hAnsi="Calibri"/>
              </w:rPr>
              <w:t>);</w:t>
            </w:r>
            <w:proofErr w:type="gramEnd"/>
          </w:p>
          <w:p w14:paraId="16F2F101" w14:textId="77777777" w:rsidR="00B70762" w:rsidRPr="00F65742" w:rsidRDefault="00B70762" w:rsidP="00626B37">
            <w:pPr>
              <w:pStyle w:val="TableParagraph"/>
              <w:numPr>
                <w:ilvl w:val="0"/>
                <w:numId w:val="2"/>
              </w:numPr>
              <w:spacing w:line="240" w:lineRule="auto"/>
              <w:ind w:right="216"/>
              <w:rPr>
                <w:rFonts w:ascii="Calibri" w:hAnsi="Calibri"/>
              </w:rPr>
            </w:pPr>
            <w:r w:rsidRPr="00F65742">
              <w:rPr>
                <w:rFonts w:ascii="Calibri" w:hAnsi="Calibri"/>
                <w:i/>
              </w:rPr>
              <w:t>Boise School District Policy Manual</w:t>
            </w:r>
            <w:r w:rsidRPr="00F65742">
              <w:rPr>
                <w:rFonts w:ascii="Calibri" w:hAnsi="Calibri"/>
              </w:rPr>
              <w:t xml:space="preserve">, Student Dress Code (for anticipatory set), source: </w:t>
            </w:r>
            <w:hyperlink r:id="rId7" w:history="1">
              <w:r w:rsidRPr="00F65742">
                <w:rPr>
                  <w:rStyle w:val="Hyperlink"/>
                  <w:rFonts w:ascii="Calibri" w:hAnsi="Calibri" w:cs="Arial"/>
                </w:rPr>
                <w:t>http://www.boiseschools.org/UserFiles/Servers/Server_508222/File/Board%20Policies/3000%20Students/3223.pdf</w:t>
              </w:r>
            </w:hyperlink>
          </w:p>
          <w:p w14:paraId="01146412" w14:textId="77777777" w:rsidR="00B70762" w:rsidRPr="00F65742" w:rsidRDefault="00B70762" w:rsidP="00F7310E">
            <w:pPr>
              <w:pStyle w:val="TableParagraph"/>
              <w:spacing w:line="240" w:lineRule="auto"/>
              <w:ind w:right="216"/>
              <w:rPr>
                <w:rFonts w:ascii="Calibri" w:hAnsi="Calibri"/>
              </w:rPr>
            </w:pPr>
          </w:p>
          <w:p w14:paraId="5292F791" w14:textId="77777777" w:rsidR="00B70762" w:rsidRDefault="00B70762" w:rsidP="00565A73">
            <w:pPr>
              <w:pStyle w:val="TableParagraph"/>
              <w:spacing w:line="240" w:lineRule="auto"/>
              <w:ind w:right="216"/>
              <w:rPr>
                <w:rFonts w:ascii="Calibri" w:hAnsi="Calibri"/>
              </w:rPr>
            </w:pPr>
            <w:r w:rsidRPr="00F65742">
              <w:rPr>
                <w:rFonts w:ascii="Calibri" w:hAnsi="Calibri"/>
              </w:rPr>
              <w:t xml:space="preserve">Content specific vocabulary and terms include: (review of) Federalists, Democratic-Republicans, partisanship, the Revolution of 1800/Jeffersonian Revolution; (introduction of new vocabulary, including) original and appellate jurisdiction, writ of </w:t>
            </w:r>
            <w:proofErr w:type="gramStart"/>
            <w:r w:rsidRPr="00F65742">
              <w:rPr>
                <w:rFonts w:ascii="Calibri" w:hAnsi="Calibri"/>
              </w:rPr>
              <w:t>mandamus,  midnight</w:t>
            </w:r>
            <w:proofErr w:type="gramEnd"/>
            <w:r w:rsidRPr="00F65742">
              <w:rPr>
                <w:rFonts w:ascii="Calibri" w:hAnsi="Calibri"/>
              </w:rPr>
              <w:t xml:space="preserve"> judges, the Judiciary Acts of 1789 and 1801, and  impeachment (i.e., the case of Justice Samuel Chase, 1804).</w:t>
            </w:r>
          </w:p>
          <w:p w14:paraId="064FBC91" w14:textId="73F9D5FB" w:rsidR="00F65742" w:rsidRPr="00F65742" w:rsidRDefault="00F65742" w:rsidP="00565A73">
            <w:pPr>
              <w:pStyle w:val="TableParagraph"/>
              <w:spacing w:line="240" w:lineRule="auto"/>
              <w:ind w:right="216"/>
              <w:rPr>
                <w:rFonts w:ascii="Calibri" w:hAnsi="Calibri"/>
              </w:rPr>
            </w:pPr>
          </w:p>
        </w:tc>
      </w:tr>
      <w:tr w:rsidR="00B70762" w:rsidRPr="00F65742" w14:paraId="3236B2C1" w14:textId="77777777" w:rsidTr="00F65742">
        <w:trPr>
          <w:trHeight w:val="20"/>
        </w:trPr>
        <w:tc>
          <w:tcPr>
            <w:tcW w:w="10481" w:type="dxa"/>
          </w:tcPr>
          <w:p w14:paraId="2918A9CC" w14:textId="77777777" w:rsidR="00B70762" w:rsidRPr="00F65742" w:rsidRDefault="00B70762" w:rsidP="00CA0652">
            <w:pPr>
              <w:pStyle w:val="TableParagraph"/>
              <w:ind w:left="1779" w:right="1780"/>
              <w:jc w:val="center"/>
              <w:rPr>
                <w:rFonts w:ascii="Calibri" w:eastAsia="Times New Roman"/>
                <w:b/>
              </w:rPr>
            </w:pPr>
            <w:r w:rsidRPr="00F65742">
              <w:rPr>
                <w:rFonts w:ascii="Calibri" w:eastAsia="Times New Roman"/>
                <w:b/>
              </w:rPr>
              <w:t>Methods and Instructional Strategies</w:t>
            </w:r>
          </w:p>
        </w:tc>
      </w:tr>
      <w:tr w:rsidR="00B70762" w:rsidRPr="00F65742" w14:paraId="37495A75" w14:textId="77777777" w:rsidTr="00F65742">
        <w:trPr>
          <w:trHeight w:val="20"/>
        </w:trPr>
        <w:tc>
          <w:tcPr>
            <w:tcW w:w="10481" w:type="dxa"/>
          </w:tcPr>
          <w:p w14:paraId="77746010" w14:textId="77777777" w:rsidR="00B70762" w:rsidRPr="00F65742" w:rsidRDefault="00B70762">
            <w:pPr>
              <w:pStyle w:val="TableParagraph"/>
              <w:spacing w:line="266" w:lineRule="exact"/>
              <w:rPr>
                <w:rFonts w:ascii="Calibri" w:eastAsia="Times New Roman"/>
                <w:b/>
              </w:rPr>
            </w:pPr>
            <w:r w:rsidRPr="00F65742">
              <w:rPr>
                <w:rFonts w:ascii="Calibri" w:eastAsia="Times New Roman"/>
                <w:b/>
              </w:rPr>
              <w:t>Concept Prerequisites:</w:t>
            </w:r>
          </w:p>
          <w:p w14:paraId="469650BB" w14:textId="77777777" w:rsidR="00B70762" w:rsidRPr="00F65742" w:rsidRDefault="00B70762">
            <w:pPr>
              <w:pStyle w:val="TableParagraph"/>
              <w:spacing w:line="240" w:lineRule="auto"/>
              <w:ind w:right="296"/>
              <w:rPr>
                <w:rFonts w:ascii="Calibri" w:hAnsi="Calibri"/>
                <w:b/>
              </w:rPr>
            </w:pPr>
            <w:r w:rsidRPr="00F65742">
              <w:rPr>
                <w:rFonts w:ascii="Calibri" w:hAnsi="Calibri"/>
              </w:rPr>
              <w:t>List all key concepts and terminology necessary for students to understand the concepts as well as meet the standards, goals, and objectives of the lesson</w:t>
            </w:r>
            <w:r w:rsidRPr="00F65742">
              <w:rPr>
                <w:rFonts w:ascii="Calibri" w:hAnsi="Calibri"/>
                <w:b/>
              </w:rPr>
              <w:t>.</w:t>
            </w:r>
          </w:p>
          <w:p w14:paraId="0FA3E6C9" w14:textId="77777777" w:rsidR="00B70762" w:rsidRPr="00F65742" w:rsidRDefault="00B70762">
            <w:pPr>
              <w:pStyle w:val="TableParagraph"/>
              <w:spacing w:line="240" w:lineRule="auto"/>
              <w:ind w:right="296"/>
              <w:rPr>
                <w:rFonts w:ascii="Calibri" w:hAnsi="Calibri"/>
              </w:rPr>
            </w:pPr>
          </w:p>
          <w:p w14:paraId="25271E43" w14:textId="77777777" w:rsidR="00F65742" w:rsidRDefault="00B70762">
            <w:pPr>
              <w:pStyle w:val="TableParagraph"/>
              <w:spacing w:line="240" w:lineRule="auto"/>
              <w:ind w:right="296"/>
              <w:rPr>
                <w:rFonts w:ascii="Calibri" w:hAnsi="Calibri"/>
              </w:rPr>
            </w:pPr>
            <w:r w:rsidRPr="00F65742">
              <w:rPr>
                <w:rFonts w:ascii="Calibri" w:hAnsi="Calibri"/>
              </w:rPr>
              <w:t xml:space="preserve">Key concepts and terms: </w:t>
            </w:r>
          </w:p>
          <w:p w14:paraId="10C0420A" w14:textId="44F13137" w:rsidR="00B70762" w:rsidRDefault="00F65742">
            <w:pPr>
              <w:pStyle w:val="TableParagraph"/>
              <w:spacing w:line="240" w:lineRule="auto"/>
              <w:ind w:right="296"/>
              <w:rPr>
                <w:rFonts w:ascii="Calibri" w:hAnsi="Calibri"/>
              </w:rPr>
            </w:pPr>
            <w:r>
              <w:rPr>
                <w:rFonts w:ascii="Calibri" w:hAnsi="Calibri"/>
              </w:rPr>
              <w:t>T</w:t>
            </w:r>
            <w:r w:rsidR="00B70762" w:rsidRPr="00F65742">
              <w:rPr>
                <w:rFonts w:ascii="Calibri" w:hAnsi="Calibri"/>
              </w:rPr>
              <w:t xml:space="preserve">he rule of law; the principle of judicial review; judicial decision, judicial opinion, dictum; precedent; (review) separation of powers, checks and balances; impartial, independent </w:t>
            </w:r>
            <w:proofErr w:type="gramStart"/>
            <w:r w:rsidR="00B70762" w:rsidRPr="00F65742">
              <w:rPr>
                <w:rFonts w:ascii="Calibri" w:hAnsi="Calibri"/>
              </w:rPr>
              <w:t>judiciary;  (</w:t>
            </w:r>
            <w:proofErr w:type="gramEnd"/>
            <w:r w:rsidR="00B70762" w:rsidRPr="00F65742">
              <w:rPr>
                <w:rFonts w:ascii="Calibri" w:hAnsi="Calibri"/>
              </w:rPr>
              <w:t>recurrent) challenges and questions related to interpretations of the U.S. Constitution (e.g., what exactly does “judicial activism” mean?).</w:t>
            </w:r>
          </w:p>
          <w:p w14:paraId="1DD9601F" w14:textId="73D6C13D" w:rsidR="00F65742" w:rsidRPr="00F65742" w:rsidRDefault="00F65742">
            <w:pPr>
              <w:pStyle w:val="TableParagraph"/>
              <w:spacing w:line="240" w:lineRule="auto"/>
              <w:ind w:right="296"/>
              <w:rPr>
                <w:rFonts w:ascii="Calibri" w:hAnsi="Calibri"/>
              </w:rPr>
            </w:pPr>
          </w:p>
        </w:tc>
      </w:tr>
      <w:tr w:rsidR="00B70762" w:rsidRPr="00F65742" w14:paraId="0DCA400D" w14:textId="77777777" w:rsidTr="00F65742">
        <w:trPr>
          <w:trHeight w:val="20"/>
        </w:trPr>
        <w:tc>
          <w:tcPr>
            <w:tcW w:w="10481" w:type="dxa"/>
          </w:tcPr>
          <w:p w14:paraId="14200223" w14:textId="77777777" w:rsidR="00B70762" w:rsidRPr="00F65742" w:rsidRDefault="00B70762" w:rsidP="00AA242D">
            <w:pPr>
              <w:pStyle w:val="TableParagraph"/>
              <w:spacing w:line="240" w:lineRule="auto"/>
              <w:ind w:left="101" w:right="1051"/>
              <w:rPr>
                <w:rFonts w:ascii="Calibri" w:eastAsia="Times New Roman"/>
                <w:b/>
              </w:rPr>
            </w:pPr>
            <w:r w:rsidRPr="00F65742">
              <w:rPr>
                <w:rFonts w:ascii="Calibri" w:eastAsia="Times New Roman"/>
                <w:b/>
              </w:rPr>
              <w:lastRenderedPageBreak/>
              <w:t xml:space="preserve">Anticipated Student Misconceptions: </w:t>
            </w:r>
          </w:p>
          <w:p w14:paraId="2AFEC512" w14:textId="77777777" w:rsidR="00B70762" w:rsidRPr="00F65742" w:rsidRDefault="00B70762" w:rsidP="00AA242D">
            <w:pPr>
              <w:pStyle w:val="TableParagraph"/>
              <w:spacing w:line="240" w:lineRule="auto"/>
              <w:ind w:left="101" w:right="1051"/>
              <w:rPr>
                <w:rFonts w:ascii="Calibri" w:hAnsi="Calibri"/>
              </w:rPr>
            </w:pPr>
          </w:p>
          <w:p w14:paraId="0ADAFA8A" w14:textId="77777777" w:rsidR="00B70762" w:rsidRPr="00F65742" w:rsidRDefault="00B70762" w:rsidP="00AA242D">
            <w:pPr>
              <w:pStyle w:val="TableParagraph"/>
              <w:spacing w:line="240" w:lineRule="auto"/>
              <w:ind w:left="101" w:right="1051"/>
              <w:rPr>
                <w:rFonts w:ascii="Calibri"/>
                <w:b/>
              </w:rPr>
            </w:pPr>
            <w:r w:rsidRPr="00F65742">
              <w:rPr>
                <w:rFonts w:ascii="Calibri" w:hAnsi="Calibri"/>
              </w:rPr>
              <w:t>Students might believe: the judgments of courts are always or automatically enforced (focus on separation of powers); political opposition/obstruction within and among the branches of government only weaken democratic institutions (checks and balances – “let ambition check ambition,” “co-equal” branches of government); authoritative statements by courts have the same weight as decisions (distinguish between decision and dictum).</w:t>
            </w:r>
          </w:p>
        </w:tc>
      </w:tr>
      <w:tr w:rsidR="00B70762" w:rsidRPr="00F65742" w14:paraId="4CAFF8F0" w14:textId="77777777" w:rsidTr="00F65742">
        <w:trPr>
          <w:trHeight w:val="20"/>
        </w:trPr>
        <w:tc>
          <w:tcPr>
            <w:tcW w:w="10481" w:type="dxa"/>
          </w:tcPr>
          <w:p w14:paraId="2307E3E1" w14:textId="77777777" w:rsidR="00B70762" w:rsidRPr="00F65742" w:rsidRDefault="00B70762" w:rsidP="00AA242D">
            <w:pPr>
              <w:pStyle w:val="TableParagraph"/>
              <w:spacing w:line="240" w:lineRule="auto"/>
              <w:ind w:left="101" w:right="1051"/>
              <w:rPr>
                <w:rFonts w:ascii="Calibri"/>
              </w:rPr>
            </w:pPr>
            <w:r w:rsidRPr="00F65742">
              <w:rPr>
                <w:rFonts w:ascii="Calibri" w:eastAsia="Times New Roman"/>
                <w:b/>
              </w:rPr>
              <w:t>Introduction/Anticipatory Set:</w:t>
            </w:r>
          </w:p>
          <w:p w14:paraId="00BDE836" w14:textId="77777777" w:rsidR="00B70762" w:rsidRPr="00F65742" w:rsidRDefault="00B70762" w:rsidP="004C6244">
            <w:pPr>
              <w:pStyle w:val="TableParagraph"/>
              <w:spacing w:line="240" w:lineRule="auto"/>
              <w:ind w:left="101" w:right="1051"/>
              <w:rPr>
                <w:rFonts w:ascii="Calibri" w:eastAsia="Times New Roman"/>
              </w:rPr>
            </w:pPr>
            <w:r w:rsidRPr="00F65742">
              <w:rPr>
                <w:rFonts w:ascii="Calibri" w:eastAsia="Times New Roman"/>
              </w:rPr>
              <w:t xml:space="preserve">What activity, if any, will be used to settle students and establish a context for the lesson?  How will the lesson be opened (motivation) </w:t>
            </w:r>
            <w:proofErr w:type="gramStart"/>
            <w:r w:rsidRPr="00F65742">
              <w:rPr>
                <w:rFonts w:ascii="Calibri" w:eastAsia="Times New Roman"/>
              </w:rPr>
              <w:t>in order to</w:t>
            </w:r>
            <w:proofErr w:type="gramEnd"/>
            <w:r w:rsidRPr="00F65742">
              <w:rPr>
                <w:rFonts w:ascii="Calibri" w:eastAsia="Times New Roman"/>
              </w:rPr>
              <w:t xml:space="preserve"> capture student interest?</w:t>
            </w:r>
            <w:bookmarkStart w:id="0" w:name="Text11"/>
          </w:p>
          <w:bookmarkEnd w:id="0"/>
          <w:p w14:paraId="10821F4F" w14:textId="77777777" w:rsidR="00B70762" w:rsidRPr="00F65742" w:rsidRDefault="00B70762" w:rsidP="004C6244">
            <w:pPr>
              <w:pStyle w:val="TableParagraph"/>
              <w:spacing w:line="240" w:lineRule="auto"/>
              <w:ind w:left="101" w:right="1051"/>
              <w:rPr>
                <w:rFonts w:ascii="Calibri" w:hAnsi="Calibri"/>
              </w:rPr>
            </w:pPr>
          </w:p>
          <w:p w14:paraId="6AF7DC4F" w14:textId="77777777" w:rsidR="00B70762" w:rsidRPr="00F65742" w:rsidRDefault="00B70762" w:rsidP="00626B37">
            <w:pPr>
              <w:pStyle w:val="TableParagraph"/>
              <w:spacing w:line="240" w:lineRule="auto"/>
              <w:ind w:right="1051"/>
              <w:rPr>
                <w:rFonts w:ascii="Calibri" w:hAnsi="Calibri"/>
              </w:rPr>
            </w:pPr>
            <w:r w:rsidRPr="00F65742">
              <w:rPr>
                <w:rFonts w:ascii="Calibri" w:hAnsi="Calibri"/>
              </w:rPr>
              <w:t>Warm-up:</w:t>
            </w:r>
          </w:p>
          <w:p w14:paraId="41CBBA66" w14:textId="77777777" w:rsidR="00B70762" w:rsidRPr="00F65742" w:rsidRDefault="00B70762" w:rsidP="00626B37">
            <w:pPr>
              <w:pStyle w:val="TableParagraph"/>
              <w:numPr>
                <w:ilvl w:val="0"/>
                <w:numId w:val="3"/>
              </w:numPr>
              <w:spacing w:line="240" w:lineRule="auto"/>
              <w:ind w:right="1051"/>
              <w:rPr>
                <w:rFonts w:ascii="Calibri" w:hAnsi="Calibri"/>
              </w:rPr>
            </w:pPr>
            <w:r w:rsidRPr="00F65742">
              <w:rPr>
                <w:rFonts w:ascii="Calibri" w:hAnsi="Calibri"/>
              </w:rPr>
              <w:t>Distribute to students copies of a school district’s Dress Code (BSD, Policy 3223, p. 1).</w:t>
            </w:r>
          </w:p>
          <w:p w14:paraId="3FBAA84E" w14:textId="77777777" w:rsidR="00B70762" w:rsidRPr="00F65742" w:rsidRDefault="00B70762" w:rsidP="00F66799">
            <w:pPr>
              <w:pStyle w:val="TableParagraph"/>
              <w:numPr>
                <w:ilvl w:val="0"/>
                <w:numId w:val="1"/>
              </w:numPr>
              <w:spacing w:line="240" w:lineRule="auto"/>
              <w:ind w:right="1051"/>
              <w:rPr>
                <w:rFonts w:ascii="Calibri" w:hAnsi="Calibri"/>
              </w:rPr>
            </w:pPr>
            <w:r w:rsidRPr="00F65742">
              <w:rPr>
                <w:rFonts w:ascii="Calibri" w:hAnsi="Calibri"/>
              </w:rPr>
              <w:t xml:space="preserve">Call attention to the language, </w:t>
            </w:r>
            <w:r w:rsidRPr="00F65742">
              <w:rPr>
                <w:rFonts w:ascii="Calibri" w:hAnsi="Calibri"/>
                <w:i/>
              </w:rPr>
              <w:t>“Students’ clothing and grooming shall be appropriate, shall not be revealing, and shall not be a disruption or interference to the educational process.”</w:t>
            </w:r>
          </w:p>
          <w:p w14:paraId="76D79C96" w14:textId="77777777" w:rsidR="00B70762" w:rsidRPr="00F65742" w:rsidRDefault="00B70762" w:rsidP="00F66799">
            <w:pPr>
              <w:pStyle w:val="TableParagraph"/>
              <w:numPr>
                <w:ilvl w:val="0"/>
                <w:numId w:val="1"/>
              </w:numPr>
              <w:spacing w:line="240" w:lineRule="auto"/>
              <w:ind w:right="1051"/>
              <w:rPr>
                <w:rFonts w:ascii="Calibri" w:hAnsi="Calibri"/>
              </w:rPr>
            </w:pPr>
            <w:r w:rsidRPr="00F65742">
              <w:rPr>
                <w:rFonts w:ascii="Calibri" w:hAnsi="Calibri"/>
              </w:rPr>
              <w:t xml:space="preserve">Allow students a couple minutes to read the </w:t>
            </w:r>
            <w:proofErr w:type="gramStart"/>
            <w:r w:rsidRPr="00F65742">
              <w:rPr>
                <w:rFonts w:ascii="Calibri" w:hAnsi="Calibri"/>
              </w:rPr>
              <w:t>one page</w:t>
            </w:r>
            <w:proofErr w:type="gramEnd"/>
            <w:r w:rsidRPr="00F65742">
              <w:rPr>
                <w:rFonts w:ascii="Calibri" w:hAnsi="Calibri"/>
              </w:rPr>
              <w:t xml:space="preserve"> context of that statement.</w:t>
            </w:r>
          </w:p>
          <w:p w14:paraId="489F280B" w14:textId="77777777" w:rsidR="00B70762" w:rsidRPr="00F65742" w:rsidRDefault="00B70762" w:rsidP="00F66799">
            <w:pPr>
              <w:pStyle w:val="TableParagraph"/>
              <w:numPr>
                <w:ilvl w:val="0"/>
                <w:numId w:val="1"/>
              </w:numPr>
              <w:spacing w:line="240" w:lineRule="auto"/>
              <w:ind w:right="1051"/>
              <w:rPr>
                <w:rFonts w:ascii="Calibri" w:hAnsi="Calibri"/>
              </w:rPr>
            </w:pPr>
            <w:r w:rsidRPr="00F65742">
              <w:rPr>
                <w:rFonts w:ascii="Calibri" w:hAnsi="Calibri"/>
              </w:rPr>
              <w:t>Ask students to identify an example of dress that may or may not be in violation of the code.</w:t>
            </w:r>
          </w:p>
          <w:p w14:paraId="1CD00A16" w14:textId="77777777" w:rsidR="00B70762" w:rsidRPr="00F65742" w:rsidRDefault="00B70762" w:rsidP="00F66799">
            <w:pPr>
              <w:pStyle w:val="TableParagraph"/>
              <w:numPr>
                <w:ilvl w:val="0"/>
                <w:numId w:val="1"/>
              </w:numPr>
              <w:spacing w:line="240" w:lineRule="auto"/>
              <w:ind w:right="1051"/>
              <w:rPr>
                <w:rFonts w:ascii="Calibri" w:hAnsi="Calibri"/>
              </w:rPr>
            </w:pPr>
            <w:r w:rsidRPr="00F65742">
              <w:rPr>
                <w:rFonts w:ascii="Calibri" w:hAnsi="Calibri"/>
              </w:rPr>
              <w:t xml:space="preserve">Questions for discussion: How can students be certain about what is permitted and what is not permitted?  What language in the code makes that determination difficult?  How, and by whom, </w:t>
            </w:r>
            <w:r w:rsidRPr="00F65742">
              <w:rPr>
                <w:rFonts w:ascii="Calibri" w:hAnsi="Calibri"/>
                <w:i/>
              </w:rPr>
              <w:t>should</w:t>
            </w:r>
            <w:r w:rsidRPr="00F65742">
              <w:rPr>
                <w:rFonts w:ascii="Calibri" w:hAnsi="Calibri"/>
              </w:rPr>
              <w:t xml:space="preserve"> uncertainty or ambiguity be resolved?  In this instance, who </w:t>
            </w:r>
            <w:r w:rsidRPr="00F65742">
              <w:rPr>
                <w:rFonts w:ascii="Calibri" w:hAnsi="Calibri"/>
                <w:i/>
              </w:rPr>
              <w:t xml:space="preserve">does </w:t>
            </w:r>
            <w:r w:rsidRPr="00F65742">
              <w:rPr>
                <w:rFonts w:ascii="Calibri" w:hAnsi="Calibri"/>
              </w:rPr>
              <w:t xml:space="preserve">have authority to make the determination?  What “external” factors might influence that decision (personal/community values, circumstances limiting students’ choices, tradition, a school official’s </w:t>
            </w:r>
            <w:proofErr w:type="gramStart"/>
            <w:r w:rsidRPr="00F65742">
              <w:rPr>
                <w:rFonts w:ascii="Calibri" w:hAnsi="Calibri"/>
              </w:rPr>
              <w:t>preferences</w:t>
            </w:r>
            <w:proofErr w:type="gramEnd"/>
            <w:r w:rsidRPr="00F65742">
              <w:rPr>
                <w:rFonts w:ascii="Calibri" w:hAnsi="Calibri"/>
              </w:rPr>
              <w:t xml:space="preserve"> or standards of morality/level of tolerance, etc.)?</w:t>
            </w:r>
          </w:p>
          <w:p w14:paraId="741FAA88" w14:textId="77777777" w:rsidR="00B70762" w:rsidRPr="00F65742" w:rsidRDefault="00B70762" w:rsidP="00F66799">
            <w:pPr>
              <w:pStyle w:val="TableParagraph"/>
              <w:numPr>
                <w:ilvl w:val="0"/>
                <w:numId w:val="1"/>
              </w:numPr>
              <w:spacing w:line="240" w:lineRule="auto"/>
              <w:ind w:right="1051"/>
              <w:rPr>
                <w:rFonts w:ascii="Calibri" w:hAnsi="Calibri"/>
              </w:rPr>
            </w:pPr>
            <w:r w:rsidRPr="00F65742">
              <w:rPr>
                <w:rFonts w:ascii="Calibri" w:hAnsi="Calibri"/>
              </w:rPr>
              <w:t>Emphasize the importance of language, textual context, intent, and variable, external factors when making an apparently simple, policy-based decision.</w:t>
            </w:r>
          </w:p>
          <w:p w14:paraId="38E2BB8E" w14:textId="77777777" w:rsidR="00B70762" w:rsidRDefault="00B70762" w:rsidP="00F66799">
            <w:pPr>
              <w:pStyle w:val="TableParagraph"/>
              <w:numPr>
                <w:ilvl w:val="0"/>
                <w:numId w:val="1"/>
              </w:numPr>
              <w:spacing w:line="240" w:lineRule="auto"/>
              <w:ind w:right="1051"/>
              <w:rPr>
                <w:rFonts w:ascii="Calibri" w:hAnsi="Calibri"/>
              </w:rPr>
            </w:pPr>
            <w:r w:rsidRPr="00F65742">
              <w:rPr>
                <w:rFonts w:ascii="Calibri" w:hAnsi="Calibri"/>
              </w:rPr>
              <w:t>Move from school policy to the highest law of the land, the Constitution of the United States.</w:t>
            </w:r>
          </w:p>
          <w:p w14:paraId="7DDE1A9D" w14:textId="6B305967" w:rsidR="00F65742" w:rsidRPr="00F65742" w:rsidRDefault="00F65742" w:rsidP="00F65742">
            <w:pPr>
              <w:pStyle w:val="TableParagraph"/>
              <w:spacing w:line="240" w:lineRule="auto"/>
              <w:ind w:left="821" w:right="1051"/>
              <w:rPr>
                <w:rFonts w:ascii="Calibri" w:hAnsi="Calibri"/>
              </w:rPr>
            </w:pPr>
          </w:p>
        </w:tc>
      </w:tr>
      <w:tr w:rsidR="00B70762" w:rsidRPr="00F65742" w14:paraId="60A0438F" w14:textId="77777777" w:rsidTr="00F65742">
        <w:trPr>
          <w:trHeight w:val="20"/>
        </w:trPr>
        <w:tc>
          <w:tcPr>
            <w:tcW w:w="10481" w:type="dxa"/>
          </w:tcPr>
          <w:p w14:paraId="15EDEB6D" w14:textId="77777777" w:rsidR="00B70762" w:rsidRPr="00F65742" w:rsidRDefault="00B70762">
            <w:pPr>
              <w:pStyle w:val="TableParagraph"/>
              <w:jc w:val="both"/>
              <w:rPr>
                <w:rFonts w:ascii="Calibri" w:eastAsia="Times New Roman"/>
                <w:b/>
              </w:rPr>
            </w:pPr>
            <w:r w:rsidRPr="00F65742">
              <w:rPr>
                <w:rFonts w:ascii="Calibri" w:eastAsia="Times New Roman"/>
                <w:b/>
              </w:rPr>
              <w:t>Instructional Activities:</w:t>
            </w:r>
          </w:p>
          <w:p w14:paraId="636D7F13" w14:textId="77777777" w:rsidR="00B70762" w:rsidRPr="00F65742" w:rsidRDefault="00B70762" w:rsidP="004C6244">
            <w:pPr>
              <w:pStyle w:val="TableParagraph"/>
              <w:spacing w:line="240" w:lineRule="auto"/>
              <w:ind w:right="283"/>
              <w:rPr>
                <w:rFonts w:ascii="Calibri" w:hAnsi="Calibri"/>
              </w:rPr>
            </w:pPr>
            <w:r w:rsidRPr="00F65742">
              <w:rPr>
                <w:rFonts w:ascii="Calibri" w:hAnsi="Calibri"/>
              </w:rPr>
              <w:t xml:space="preserve">Include the questioning techniques, grouping strategies, and pedagogical approaches employed in the lesson.  What individual/team/full-class activities will be used to help students discover what they need to learn (suggest </w:t>
            </w:r>
            <w:r w:rsidR="00480F8D" w:rsidRPr="00F65742">
              <w:rPr>
                <w:rFonts w:ascii="Calibri" w:hAnsi="Calibri"/>
              </w:rPr>
              <w:t>three</w:t>
            </w:r>
            <w:r w:rsidRPr="00F65742">
              <w:rPr>
                <w:rFonts w:ascii="Calibri" w:hAnsi="Calibri"/>
              </w:rPr>
              <w:t>, if practical)?  If these are group activities, how will student groups be organized?  What higher order thinking (H.O.T.) questions engage students in analysis and discussion?</w:t>
            </w:r>
            <w:bookmarkStart w:id="1" w:name="Text12"/>
          </w:p>
          <w:bookmarkEnd w:id="1"/>
          <w:p w14:paraId="7AB0EADE" w14:textId="77777777" w:rsidR="00B70762" w:rsidRPr="00F65742" w:rsidRDefault="00B70762" w:rsidP="004C6244">
            <w:pPr>
              <w:pStyle w:val="TableParagraph"/>
              <w:spacing w:line="240" w:lineRule="auto"/>
              <w:ind w:right="283"/>
              <w:rPr>
                <w:rFonts w:ascii="Calibri" w:hAnsi="Calibri"/>
              </w:rPr>
            </w:pPr>
          </w:p>
          <w:p w14:paraId="702F4739" w14:textId="77777777" w:rsidR="00B70762" w:rsidRPr="00F65742" w:rsidRDefault="00B70762" w:rsidP="004C6244">
            <w:pPr>
              <w:pStyle w:val="TableParagraph"/>
              <w:spacing w:line="240" w:lineRule="auto"/>
              <w:ind w:right="283"/>
              <w:rPr>
                <w:rFonts w:ascii="Calibri" w:hAnsi="Calibri"/>
              </w:rPr>
            </w:pPr>
            <w:r w:rsidRPr="00F65742">
              <w:rPr>
                <w:rFonts w:ascii="Calibri" w:hAnsi="Calibri"/>
              </w:rPr>
              <w:t>Activities:</w:t>
            </w:r>
          </w:p>
          <w:p w14:paraId="60CC4A38" w14:textId="77777777" w:rsidR="00B70762" w:rsidRPr="00F65742" w:rsidRDefault="00B70762" w:rsidP="00F077C5">
            <w:pPr>
              <w:pStyle w:val="TableParagraph"/>
              <w:numPr>
                <w:ilvl w:val="0"/>
                <w:numId w:val="4"/>
              </w:numPr>
              <w:spacing w:line="240" w:lineRule="auto"/>
              <w:ind w:right="283"/>
              <w:rPr>
                <w:rFonts w:ascii="Calibri" w:hAnsi="Calibri"/>
              </w:rPr>
            </w:pPr>
            <w:r w:rsidRPr="00F65742">
              <w:rPr>
                <w:rFonts w:ascii="Calibri" w:hAnsi="Calibri"/>
              </w:rPr>
              <w:t>Present a brief review of the political issues and rivalries giving rise to political parties in the early republic (direct instruction/interactive with Q/A</w:t>
            </w:r>
            <w:proofErr w:type="gramStart"/>
            <w:r w:rsidRPr="00F65742">
              <w:rPr>
                <w:rFonts w:ascii="Calibri" w:hAnsi="Calibri"/>
              </w:rPr>
              <w:t>);</w:t>
            </w:r>
            <w:proofErr w:type="gramEnd"/>
          </w:p>
          <w:p w14:paraId="18483192" w14:textId="77777777" w:rsidR="00B70762" w:rsidRPr="00F65742" w:rsidRDefault="00B70762" w:rsidP="00F077C5">
            <w:pPr>
              <w:pStyle w:val="TableParagraph"/>
              <w:numPr>
                <w:ilvl w:val="0"/>
                <w:numId w:val="4"/>
              </w:numPr>
              <w:spacing w:line="240" w:lineRule="auto"/>
              <w:ind w:right="283"/>
              <w:rPr>
                <w:rFonts w:ascii="Calibri" w:hAnsi="Calibri"/>
              </w:rPr>
            </w:pPr>
            <w:r w:rsidRPr="00F65742">
              <w:rPr>
                <w:rFonts w:ascii="Calibri" w:hAnsi="Calibri"/>
              </w:rPr>
              <w:t>Introduce the video and explain the focus questions guide, then view the video in segments – interrupting to emphasize important content, explain events depicted in the film, address student questions (whole class, teacher-led</w:t>
            </w:r>
            <w:proofErr w:type="gramStart"/>
            <w:r w:rsidRPr="00F65742">
              <w:rPr>
                <w:rFonts w:ascii="Calibri" w:hAnsi="Calibri"/>
              </w:rPr>
              <w:t>);</w:t>
            </w:r>
            <w:proofErr w:type="gramEnd"/>
          </w:p>
          <w:p w14:paraId="24A25EBF" w14:textId="77777777" w:rsidR="00B70762" w:rsidRPr="00F65742" w:rsidRDefault="00B70762" w:rsidP="00F077C5">
            <w:pPr>
              <w:pStyle w:val="TableParagraph"/>
              <w:numPr>
                <w:ilvl w:val="0"/>
                <w:numId w:val="4"/>
              </w:numPr>
              <w:spacing w:line="240" w:lineRule="auto"/>
              <w:ind w:right="283"/>
              <w:rPr>
                <w:rFonts w:ascii="Calibri" w:hAnsi="Calibri"/>
              </w:rPr>
            </w:pPr>
            <w:r w:rsidRPr="00F65742">
              <w:rPr>
                <w:rFonts w:ascii="Calibri" w:hAnsi="Calibri"/>
              </w:rPr>
              <w:t xml:space="preserve">Use focus and learning outcome questions (above) to guide discussion, analysis, and conclusions drawn from the video’s </w:t>
            </w:r>
            <w:proofErr w:type="gramStart"/>
            <w:r w:rsidRPr="00F65742">
              <w:rPr>
                <w:rFonts w:ascii="Calibri" w:hAnsi="Calibri"/>
              </w:rPr>
              <w:t>content  (</w:t>
            </w:r>
            <w:proofErr w:type="gramEnd"/>
            <w:r w:rsidRPr="00F65742">
              <w:rPr>
                <w:rFonts w:ascii="Calibri" w:hAnsi="Calibri"/>
              </w:rPr>
              <w:t>small, heterogeneous groups, each with a designated leader who will encourage participation by all group members);</w:t>
            </w:r>
          </w:p>
          <w:p w14:paraId="04197B6A" w14:textId="1F1C3C8C" w:rsidR="00F65742" w:rsidRPr="00961B58" w:rsidRDefault="00B70762" w:rsidP="00961B58">
            <w:pPr>
              <w:pStyle w:val="TableParagraph"/>
              <w:numPr>
                <w:ilvl w:val="0"/>
                <w:numId w:val="4"/>
              </w:numPr>
              <w:spacing w:line="240" w:lineRule="auto"/>
              <w:ind w:right="283"/>
              <w:rPr>
                <w:rFonts w:ascii="Calibri" w:hAnsi="Calibri"/>
              </w:rPr>
            </w:pPr>
            <w:r w:rsidRPr="00F65742">
              <w:rPr>
                <w:rFonts w:ascii="Calibri" w:hAnsi="Calibri"/>
              </w:rPr>
              <w:t>Discuss and summarize groups’ conclusions as they relate to the key learning objectives (teacher-led; whole class).</w:t>
            </w:r>
          </w:p>
        </w:tc>
      </w:tr>
      <w:tr w:rsidR="00B70762" w:rsidRPr="00F65742" w14:paraId="2202F700" w14:textId="77777777" w:rsidTr="00F65742">
        <w:trPr>
          <w:trHeight w:val="20"/>
        </w:trPr>
        <w:tc>
          <w:tcPr>
            <w:tcW w:w="10481" w:type="dxa"/>
          </w:tcPr>
          <w:p w14:paraId="7F4CABAC" w14:textId="77777777" w:rsidR="00B70762" w:rsidRPr="00F65742" w:rsidRDefault="00B70762">
            <w:pPr>
              <w:pStyle w:val="TableParagraph"/>
              <w:spacing w:line="240" w:lineRule="auto"/>
              <w:ind w:right="887"/>
              <w:rPr>
                <w:rFonts w:ascii="Calibri"/>
              </w:rPr>
            </w:pPr>
            <w:r w:rsidRPr="00F65742">
              <w:rPr>
                <w:rFonts w:ascii="Calibri" w:eastAsia="Times New Roman"/>
                <w:b/>
              </w:rPr>
              <w:t>Differentiation According to Student Needs:</w:t>
            </w:r>
          </w:p>
          <w:p w14:paraId="3B62E6D0" w14:textId="77777777" w:rsidR="00B70762" w:rsidRPr="00F65742" w:rsidRDefault="00B70762">
            <w:pPr>
              <w:pStyle w:val="TableParagraph"/>
              <w:spacing w:line="240" w:lineRule="auto"/>
              <w:ind w:right="887"/>
              <w:rPr>
                <w:rFonts w:ascii="Calibri" w:eastAsia="Times New Roman"/>
              </w:rPr>
            </w:pPr>
            <w:r w:rsidRPr="00F65742">
              <w:rPr>
                <w:rFonts w:ascii="Calibri" w:eastAsia="Times New Roman"/>
              </w:rPr>
              <w:t>Address diverse student needs including students with an IEP or 504, cultural or linguistic needs.  How can instruction be differentiated for diverse learners?</w:t>
            </w:r>
          </w:p>
          <w:p w14:paraId="5C3D80D1" w14:textId="77777777" w:rsidR="00B70762" w:rsidRPr="00F65742" w:rsidRDefault="00B70762">
            <w:pPr>
              <w:pStyle w:val="TableParagraph"/>
              <w:spacing w:line="240" w:lineRule="auto"/>
              <w:ind w:right="887"/>
              <w:rPr>
                <w:rFonts w:ascii="Calibri" w:hAnsi="Calibri"/>
              </w:rPr>
            </w:pPr>
          </w:p>
          <w:p w14:paraId="3E83C82A" w14:textId="77777777" w:rsidR="00B70762" w:rsidRPr="00F65742" w:rsidRDefault="00B70762">
            <w:pPr>
              <w:pStyle w:val="TableParagraph"/>
              <w:spacing w:line="240" w:lineRule="auto"/>
              <w:ind w:right="887"/>
              <w:rPr>
                <w:rFonts w:ascii="Calibri" w:hAnsi="Calibri"/>
              </w:rPr>
            </w:pPr>
            <w:r w:rsidRPr="00F65742">
              <w:rPr>
                <w:rFonts w:ascii="Calibri" w:hAnsi="Calibri"/>
              </w:rPr>
              <w:t xml:space="preserve">Depending on a student’s background, he/she may need a review of the principle “rule of law,” and the importance of an impartial and independent judiciary (fair-minded, objective, impersonal, </w:t>
            </w:r>
            <w:proofErr w:type="gramStart"/>
            <w:r w:rsidRPr="00F65742">
              <w:rPr>
                <w:rFonts w:ascii="Calibri" w:hAnsi="Calibri"/>
              </w:rPr>
              <w:t>secure</w:t>
            </w:r>
            <w:proofErr w:type="gramEnd"/>
            <w:r w:rsidRPr="00F65742">
              <w:rPr>
                <w:rFonts w:ascii="Calibri" w:hAnsi="Calibri"/>
              </w:rPr>
              <w:t xml:space="preserve"> and free from outside influence or partisan agenda).</w:t>
            </w:r>
          </w:p>
          <w:p w14:paraId="60A2BEDC" w14:textId="77777777" w:rsidR="00B70762" w:rsidRPr="00F65742" w:rsidRDefault="00B70762">
            <w:pPr>
              <w:pStyle w:val="TableParagraph"/>
              <w:spacing w:line="240" w:lineRule="auto"/>
              <w:ind w:right="887"/>
              <w:rPr>
                <w:rFonts w:ascii="Calibri" w:hAnsi="Calibri"/>
              </w:rPr>
            </w:pPr>
          </w:p>
          <w:p w14:paraId="5E80E253" w14:textId="77777777" w:rsidR="00B70762" w:rsidRPr="00F65742" w:rsidRDefault="00B70762">
            <w:pPr>
              <w:pStyle w:val="TableParagraph"/>
              <w:spacing w:line="240" w:lineRule="auto"/>
              <w:ind w:right="887"/>
              <w:rPr>
                <w:rFonts w:ascii="Calibri" w:hAnsi="Calibri"/>
              </w:rPr>
            </w:pPr>
            <w:r w:rsidRPr="00F65742">
              <w:rPr>
                <w:rFonts w:ascii="Calibri" w:hAnsi="Calibri"/>
              </w:rPr>
              <w:t xml:space="preserve">For some students, the opening exercise (using a school’s dress code policy) might be expanded to increase readiness for the </w:t>
            </w:r>
            <w:r w:rsidRPr="00F65742">
              <w:rPr>
                <w:rFonts w:ascii="Calibri" w:hAnsi="Calibri"/>
                <w:i/>
              </w:rPr>
              <w:t>Marbury v. Madison</w:t>
            </w:r>
            <w:r w:rsidRPr="00F65742">
              <w:rPr>
                <w:rFonts w:ascii="Calibri" w:hAnsi="Calibri"/>
              </w:rPr>
              <w:t xml:space="preserve"> case study.  School </w:t>
            </w:r>
            <w:proofErr w:type="gramStart"/>
            <w:r w:rsidRPr="00F65742">
              <w:rPr>
                <w:rFonts w:ascii="Calibri" w:hAnsi="Calibri"/>
              </w:rPr>
              <w:t>policy-making</w:t>
            </w:r>
            <w:proofErr w:type="gramEnd"/>
            <w:r w:rsidRPr="00F65742">
              <w:rPr>
                <w:rFonts w:ascii="Calibri" w:hAnsi="Calibri"/>
              </w:rPr>
              <w:t xml:space="preserve"> and determinations of compliance may be more interesting, concrete, and relatable to students’ own experiences, especially </w:t>
            </w:r>
            <w:r w:rsidRPr="00F65742">
              <w:rPr>
                <w:rFonts w:ascii="Calibri" w:hAnsi="Calibri"/>
              </w:rPr>
              <w:lastRenderedPageBreak/>
              <w:t>for those students who enter class without as broad a background in US history as many of their peers.</w:t>
            </w:r>
          </w:p>
          <w:p w14:paraId="11777348" w14:textId="77777777" w:rsidR="00B70762" w:rsidRPr="00F65742" w:rsidRDefault="00B70762">
            <w:pPr>
              <w:pStyle w:val="TableParagraph"/>
              <w:spacing w:line="240" w:lineRule="auto"/>
              <w:ind w:right="887"/>
              <w:rPr>
                <w:rFonts w:ascii="Calibri" w:hAnsi="Calibri"/>
              </w:rPr>
            </w:pPr>
          </w:p>
          <w:p w14:paraId="2E8E3E90" w14:textId="14D1F50E" w:rsidR="00F65742" w:rsidRPr="00F65742" w:rsidRDefault="00B70762" w:rsidP="00F65742">
            <w:pPr>
              <w:pStyle w:val="TableParagraph"/>
              <w:spacing w:line="240" w:lineRule="auto"/>
              <w:ind w:right="887"/>
              <w:rPr>
                <w:rFonts w:ascii="Calibri" w:hAnsi="Calibri"/>
              </w:rPr>
            </w:pPr>
            <w:r w:rsidRPr="00F65742">
              <w:rPr>
                <w:rFonts w:ascii="Calibri" w:hAnsi="Calibri"/>
              </w:rPr>
              <w:t xml:space="preserve">Graphics, tables, and brief video clips that depict a physical separation of the branches of government and that illustrate the intentional conventions meant to insulate judges from political considerations (expressed in trappings, formalities of procedure/decorum, life appointments, etc.) are particularly effective for students who have difficulty with some textual materials or audio-visual tracks that require close, sustained attention and prior, deep contextual knowledge.   </w:t>
            </w:r>
          </w:p>
        </w:tc>
      </w:tr>
      <w:tr w:rsidR="00B70762" w:rsidRPr="00F65742" w14:paraId="1E14A68F" w14:textId="77777777" w:rsidTr="00F65742">
        <w:trPr>
          <w:trHeight w:val="20"/>
        </w:trPr>
        <w:tc>
          <w:tcPr>
            <w:tcW w:w="10481" w:type="dxa"/>
          </w:tcPr>
          <w:p w14:paraId="66CA88EC" w14:textId="77777777" w:rsidR="00B70762" w:rsidRPr="00F65742" w:rsidRDefault="00B70762">
            <w:pPr>
              <w:pStyle w:val="TableParagraph"/>
              <w:spacing w:line="240" w:lineRule="auto"/>
              <w:ind w:right="887"/>
              <w:rPr>
                <w:rFonts w:ascii="Calibri"/>
              </w:rPr>
            </w:pPr>
            <w:r w:rsidRPr="00F65742">
              <w:rPr>
                <w:rFonts w:ascii="Calibri" w:eastAsia="Times New Roman"/>
                <w:b/>
              </w:rPr>
              <w:lastRenderedPageBreak/>
              <w:t>Wrap Up- Synthesis/Closure:</w:t>
            </w:r>
          </w:p>
          <w:p w14:paraId="02F3C258" w14:textId="77777777" w:rsidR="00B70762" w:rsidRPr="00F65742" w:rsidRDefault="00B70762" w:rsidP="00CA6FB2">
            <w:pPr>
              <w:pStyle w:val="TableParagraph"/>
              <w:spacing w:line="240" w:lineRule="auto"/>
              <w:ind w:right="887"/>
              <w:rPr>
                <w:rFonts w:ascii="Calibri" w:eastAsia="Times New Roman"/>
              </w:rPr>
            </w:pPr>
            <w:r w:rsidRPr="00F65742">
              <w:rPr>
                <w:rFonts w:ascii="Calibri" w:eastAsia="Times New Roman"/>
              </w:rPr>
              <w:t>How will the lesson be closed?  Is a summary question appropriate?</w:t>
            </w:r>
            <w:bookmarkStart w:id="2" w:name="Text13"/>
          </w:p>
          <w:bookmarkEnd w:id="2"/>
          <w:p w14:paraId="5C736011" w14:textId="77777777" w:rsidR="00B70762" w:rsidRPr="00F65742" w:rsidRDefault="00B70762" w:rsidP="00CA6FB2">
            <w:pPr>
              <w:pStyle w:val="TableParagraph"/>
              <w:spacing w:line="240" w:lineRule="auto"/>
              <w:ind w:right="887"/>
              <w:rPr>
                <w:rFonts w:ascii="Calibri" w:hAnsi="Calibri"/>
              </w:rPr>
            </w:pPr>
          </w:p>
          <w:p w14:paraId="51394B90" w14:textId="47B01B49" w:rsidR="00F65742" w:rsidRPr="00F65742" w:rsidRDefault="00B70762" w:rsidP="00F65742">
            <w:pPr>
              <w:pStyle w:val="TableParagraph"/>
              <w:spacing w:line="240" w:lineRule="auto"/>
              <w:ind w:right="887"/>
              <w:rPr>
                <w:rFonts w:ascii="Calibri" w:hAnsi="Calibri"/>
              </w:rPr>
            </w:pPr>
            <w:r w:rsidRPr="00F65742">
              <w:rPr>
                <w:rFonts w:ascii="Calibri" w:hAnsi="Calibri"/>
              </w:rPr>
              <w:t xml:space="preserve">How can we best ensure that laws and consequential actions taken by agents of the government are within the bounds of the U.S. Constitution?  What branch of government has such authority and what measures help ensure that those charged with that responsibility exercise their authority without prejudice or consideration of political interests? </w:t>
            </w:r>
          </w:p>
        </w:tc>
      </w:tr>
      <w:tr w:rsidR="00B70762" w:rsidRPr="00F65742" w14:paraId="1A03E66C" w14:textId="77777777" w:rsidTr="00F65742">
        <w:trPr>
          <w:trHeight w:val="20"/>
        </w:trPr>
        <w:tc>
          <w:tcPr>
            <w:tcW w:w="10481" w:type="dxa"/>
          </w:tcPr>
          <w:p w14:paraId="19468E39" w14:textId="77777777" w:rsidR="00B70762" w:rsidRPr="00F65742" w:rsidRDefault="00B70762">
            <w:pPr>
              <w:pStyle w:val="TableParagraph"/>
              <w:rPr>
                <w:i/>
              </w:rPr>
            </w:pPr>
            <w:r w:rsidRPr="00F65742">
              <w:rPr>
                <w:rFonts w:ascii="Calibri" w:eastAsia="Times New Roman"/>
                <w:b/>
              </w:rPr>
              <w:t xml:space="preserve">Assessment (Formative and Summative): </w:t>
            </w:r>
          </w:p>
          <w:p w14:paraId="42CAE51E" w14:textId="77777777" w:rsidR="00B70762" w:rsidRPr="00F65742" w:rsidRDefault="00B70762">
            <w:pPr>
              <w:pStyle w:val="TableParagraph"/>
              <w:spacing w:line="240" w:lineRule="auto"/>
              <w:ind w:right="893"/>
              <w:rPr>
                <w:rFonts w:ascii="Calibri" w:eastAsia="Times New Roman"/>
              </w:rPr>
            </w:pPr>
            <w:r w:rsidRPr="00F65742">
              <w:rPr>
                <w:rFonts w:ascii="Calibri" w:eastAsia="Times New Roman"/>
              </w:rPr>
              <w:t>Describe the plan to assess student mastery of the skills, content, and concepts taught in this lesson.  Indicate the type of assessment most appropriate, or provide sample questions, entire tests, portfolio guidelines, and/or rubrics.</w:t>
            </w:r>
          </w:p>
          <w:p w14:paraId="7CC48384" w14:textId="77777777" w:rsidR="00B70762" w:rsidRPr="00F65742" w:rsidRDefault="00B70762">
            <w:pPr>
              <w:pStyle w:val="TableParagraph"/>
              <w:spacing w:line="240" w:lineRule="auto"/>
              <w:ind w:right="893"/>
              <w:rPr>
                <w:rFonts w:ascii="Calibri" w:eastAsia="Times New Roman"/>
              </w:rPr>
            </w:pPr>
          </w:p>
          <w:p w14:paraId="19F65412" w14:textId="2F3963A2" w:rsidR="00F65742" w:rsidRPr="00F65742" w:rsidRDefault="00B70762" w:rsidP="00F65742">
            <w:pPr>
              <w:pStyle w:val="TableParagraph"/>
              <w:spacing w:line="240" w:lineRule="auto"/>
              <w:ind w:right="893"/>
              <w:rPr>
                <w:rFonts w:ascii="Calibri" w:hAnsi="Calibri"/>
                <w:color w:val="333333"/>
              </w:rPr>
            </w:pPr>
            <w:r w:rsidRPr="00F65742">
              <w:rPr>
                <w:rFonts w:ascii="Calibri" w:hAnsi="Calibri"/>
                <w:color w:val="333333"/>
              </w:rPr>
              <w:t xml:space="preserve">Formative assessment includes short written responses to questions related to specific concepts and aimed at confirming students’ understanding of </w:t>
            </w:r>
            <w:proofErr w:type="gramStart"/>
            <w:r w:rsidRPr="00F65742">
              <w:rPr>
                <w:rFonts w:ascii="Calibri" w:hAnsi="Calibri"/>
                <w:color w:val="333333"/>
              </w:rPr>
              <w:t>these concepts/knowledge of particular content</w:t>
            </w:r>
            <w:proofErr w:type="gramEnd"/>
            <w:r w:rsidRPr="00F65742">
              <w:rPr>
                <w:rFonts w:ascii="Calibri" w:hAnsi="Calibri"/>
                <w:color w:val="333333"/>
              </w:rPr>
              <w:t xml:space="preserve">.  Instructor directed “checking for understanding” (CFU) will be integrated within each instructional activity, typically as interactive Q/A.  Writing prompts will incorporate and relate directly to the lesson’s topic(s), stated instructional outcomes, and enduring questions.  For registered and approved AP® courses, the College Board’s guidelines might be useful in constructing written assessments, both formative and summative.  Student performance on summative assessments might be evaluated using adapted rubrics provided in </w:t>
            </w:r>
            <w:r w:rsidRPr="00F65742">
              <w:rPr>
                <w:rFonts w:ascii="Calibri" w:hAnsi="Calibri"/>
                <w:i/>
                <w:color w:val="333333"/>
              </w:rPr>
              <w:t xml:space="preserve">Rubrics for AP Histories + Historical Thinking Skills </w:t>
            </w:r>
            <w:r w:rsidRPr="00F65742">
              <w:rPr>
                <w:rFonts w:ascii="Calibri" w:hAnsi="Calibri"/>
                <w:color w:val="333333"/>
              </w:rPr>
              <w:t xml:space="preserve">(Long Essay Question Rubric), provided your district </w:t>
            </w:r>
            <w:proofErr w:type="gramStart"/>
            <w:r w:rsidRPr="00F65742">
              <w:rPr>
                <w:rFonts w:ascii="Calibri" w:hAnsi="Calibri"/>
                <w:color w:val="333333"/>
              </w:rPr>
              <w:t>is in compliance with</w:t>
            </w:r>
            <w:proofErr w:type="gramEnd"/>
            <w:r w:rsidRPr="00F65742">
              <w:rPr>
                <w:rFonts w:ascii="Calibri" w:hAnsi="Calibri"/>
                <w:color w:val="333333"/>
              </w:rPr>
              <w:t xml:space="preserve"> the College Board’s terms of use.  Source:  </w:t>
            </w:r>
            <w:hyperlink r:id="rId8" w:history="1">
              <w:r w:rsidRPr="00F65742">
                <w:rPr>
                  <w:rStyle w:val="Hyperlink"/>
                  <w:rFonts w:ascii="Calibri" w:hAnsi="Calibri" w:cs="Arial"/>
                </w:rPr>
                <w:t>https://secure-media.collegeboard.org/digitalServices/pdf/ap/rubrics-ap-histories-historical-thinking-skills.pdf</w:t>
              </w:r>
            </w:hyperlink>
            <w:r w:rsidRPr="00F65742">
              <w:rPr>
                <w:rFonts w:ascii="Calibri" w:hAnsi="Calibri"/>
                <w:color w:val="333333"/>
              </w:rPr>
              <w:t xml:space="preserve"> </w:t>
            </w:r>
          </w:p>
        </w:tc>
      </w:tr>
      <w:tr w:rsidR="00B70762" w:rsidRPr="00F65742" w14:paraId="26746344" w14:textId="77777777" w:rsidTr="00F65742">
        <w:trPr>
          <w:trHeight w:val="20"/>
        </w:trPr>
        <w:tc>
          <w:tcPr>
            <w:tcW w:w="10481" w:type="dxa"/>
          </w:tcPr>
          <w:p w14:paraId="22AB7356" w14:textId="77777777" w:rsidR="00B70762" w:rsidRPr="00F65742" w:rsidRDefault="00B70762" w:rsidP="00A46BD8">
            <w:pPr>
              <w:pStyle w:val="TableParagraph"/>
              <w:jc w:val="center"/>
              <w:rPr>
                <w:rFonts w:ascii="Calibri" w:eastAsia="Times New Roman"/>
                <w:b/>
              </w:rPr>
            </w:pPr>
            <w:r w:rsidRPr="00F65742">
              <w:rPr>
                <w:rFonts w:ascii="Calibri" w:eastAsia="Times New Roman"/>
                <w:b/>
              </w:rPr>
              <w:t>Extension and Evaluation of the Lesson</w:t>
            </w:r>
          </w:p>
        </w:tc>
      </w:tr>
      <w:tr w:rsidR="00B70762" w:rsidRPr="00F65742" w14:paraId="6507C552" w14:textId="77777777" w:rsidTr="00F65742">
        <w:trPr>
          <w:trHeight w:val="20"/>
        </w:trPr>
        <w:tc>
          <w:tcPr>
            <w:tcW w:w="10481" w:type="dxa"/>
          </w:tcPr>
          <w:p w14:paraId="5A10E3F2" w14:textId="77777777" w:rsidR="00B70762" w:rsidRPr="00F65742" w:rsidRDefault="00B70762" w:rsidP="00A46BD8">
            <w:pPr>
              <w:pStyle w:val="TableParagraph"/>
              <w:rPr>
                <w:rFonts w:ascii="Calibri" w:eastAsia="Times New Roman"/>
              </w:rPr>
            </w:pPr>
            <w:r w:rsidRPr="00F65742">
              <w:rPr>
                <w:rFonts w:ascii="Calibri" w:eastAsia="Times New Roman"/>
              </w:rPr>
              <w:t>What enrichment activities/homework/follow-up activities will reinforce and extend student learning?  What topics come next?  How should the lesson be evaluated to assess strengths, weaknesses, areas to work on, and things to change?</w:t>
            </w:r>
          </w:p>
          <w:p w14:paraId="55059640" w14:textId="77777777" w:rsidR="00B70762" w:rsidRPr="00F65742" w:rsidRDefault="00B70762" w:rsidP="00A46BD8">
            <w:pPr>
              <w:pStyle w:val="TableParagraph"/>
              <w:rPr>
                <w:rFonts w:ascii="Calibri" w:hAnsi="Calibri"/>
              </w:rPr>
            </w:pPr>
          </w:p>
          <w:p w14:paraId="5261FF33" w14:textId="77777777" w:rsidR="00B70762" w:rsidRPr="00F65742" w:rsidRDefault="00B70762" w:rsidP="00A46BD8">
            <w:pPr>
              <w:pStyle w:val="TableParagraph"/>
              <w:rPr>
                <w:rFonts w:ascii="Calibri" w:hAnsi="Calibri"/>
              </w:rPr>
            </w:pPr>
            <w:r w:rsidRPr="00F65742">
              <w:rPr>
                <w:rFonts w:ascii="Calibri" w:hAnsi="Calibri"/>
              </w:rPr>
              <w:t>Enrichment: Did Marshall’s assertion of judicial review have precedence in American jurisprudence?  Had the Supreme Court of the United States previously applied this principle to a case/other cases? Was it anticipated by the framers of the Constitution or the advocates of its ratification (independent student research)?</w:t>
            </w:r>
          </w:p>
          <w:p w14:paraId="14881B3A" w14:textId="77777777" w:rsidR="00B70762" w:rsidRPr="00F65742" w:rsidRDefault="00B70762" w:rsidP="00A46BD8">
            <w:pPr>
              <w:pStyle w:val="TableParagraph"/>
              <w:rPr>
                <w:rFonts w:ascii="Calibri" w:hAnsi="Calibri"/>
              </w:rPr>
            </w:pPr>
          </w:p>
          <w:p w14:paraId="44892F6D" w14:textId="77777777" w:rsidR="00B70762" w:rsidRPr="00F65742" w:rsidRDefault="00B70762" w:rsidP="00A46BD8">
            <w:pPr>
              <w:pStyle w:val="TableParagraph"/>
              <w:rPr>
                <w:rFonts w:ascii="Calibri" w:hAnsi="Calibri"/>
              </w:rPr>
            </w:pPr>
            <w:r w:rsidRPr="00F65742">
              <w:rPr>
                <w:rFonts w:ascii="Calibri" w:hAnsi="Calibri"/>
              </w:rPr>
              <w:t>Enrichment: Besides locking horns with Chief Justice Marshall, what specific actions of the Jefferson administration challenged Federalist power/policies (independent student research or optional assessment question)?</w:t>
            </w:r>
          </w:p>
          <w:p w14:paraId="5DED3AA5" w14:textId="77777777" w:rsidR="00B70762" w:rsidRPr="00F65742" w:rsidRDefault="00B70762" w:rsidP="00A46BD8">
            <w:pPr>
              <w:pStyle w:val="TableParagraph"/>
              <w:rPr>
                <w:rFonts w:ascii="Calibri" w:hAnsi="Calibri"/>
              </w:rPr>
            </w:pPr>
          </w:p>
          <w:p w14:paraId="70EFA1CE" w14:textId="77777777" w:rsidR="00B70762" w:rsidRPr="00F65742" w:rsidRDefault="00B70762" w:rsidP="00A46BD8">
            <w:pPr>
              <w:pStyle w:val="TableParagraph"/>
              <w:rPr>
                <w:rFonts w:ascii="Calibri" w:hAnsi="Calibri"/>
              </w:rPr>
            </w:pPr>
            <w:r w:rsidRPr="00F65742">
              <w:rPr>
                <w:rFonts w:ascii="Calibri" w:hAnsi="Calibri"/>
              </w:rPr>
              <w:t xml:space="preserve">Enrichment (discussion or brief class debate, given the speculative nature of the question): Why did Chief Justice Marshall first validate Marbury’s claim, since his decision rejected the Court’s jurisdiction in the case? </w:t>
            </w:r>
          </w:p>
          <w:p w14:paraId="341F622F" w14:textId="77777777" w:rsidR="00B70762" w:rsidRPr="00F65742" w:rsidRDefault="00B70762" w:rsidP="00A46BD8">
            <w:pPr>
              <w:pStyle w:val="TableParagraph"/>
              <w:rPr>
                <w:rFonts w:ascii="Calibri" w:hAnsi="Calibri"/>
              </w:rPr>
            </w:pPr>
          </w:p>
          <w:p w14:paraId="330672C7" w14:textId="77777777" w:rsidR="00B70762" w:rsidRPr="00F65742" w:rsidRDefault="00B70762" w:rsidP="00A46BD8">
            <w:pPr>
              <w:pStyle w:val="TableParagraph"/>
              <w:rPr>
                <w:rFonts w:ascii="Calibri" w:hAnsi="Calibri"/>
              </w:rPr>
            </w:pPr>
            <w:r w:rsidRPr="00F65742">
              <w:rPr>
                <w:rFonts w:ascii="Calibri" w:hAnsi="Calibri"/>
              </w:rPr>
              <w:t>Extension: The Judicial Conference of the United States has produced other films of cases important to the political development of the early republic.  Select one of these (the trial of Aaron Burr, for example) and write an account of how the Court decided the case in point, and what significance that ruling had at the time and in the future (independent student research).</w:t>
            </w:r>
          </w:p>
          <w:p w14:paraId="196DFDA2" w14:textId="77777777" w:rsidR="00B70762" w:rsidRPr="00F65742" w:rsidRDefault="00B70762" w:rsidP="00A46BD8">
            <w:pPr>
              <w:pStyle w:val="TableParagraph"/>
              <w:rPr>
                <w:rFonts w:ascii="Calibri" w:hAnsi="Calibri"/>
              </w:rPr>
            </w:pPr>
          </w:p>
          <w:p w14:paraId="25683EEA" w14:textId="2477295C" w:rsidR="00F65742" w:rsidRDefault="00B70762" w:rsidP="00F65742">
            <w:pPr>
              <w:pStyle w:val="TableParagraph"/>
              <w:rPr>
                <w:rFonts w:ascii="Calibri" w:hAnsi="Calibri"/>
              </w:rPr>
            </w:pPr>
            <w:r w:rsidRPr="00F65742">
              <w:rPr>
                <w:rFonts w:ascii="Calibri" w:hAnsi="Calibri"/>
              </w:rPr>
              <w:t xml:space="preserve">Evaluate the Lesson: One reviewer mentioned the need to edit or speed up the video for students.  </w:t>
            </w:r>
            <w:r w:rsidR="009C5273" w:rsidRPr="00F65742">
              <w:rPr>
                <w:rFonts w:ascii="Calibri" w:hAnsi="Calibri"/>
              </w:rPr>
              <w:t>G</w:t>
            </w:r>
            <w:r w:rsidRPr="00F65742">
              <w:rPr>
                <w:rFonts w:ascii="Calibri" w:hAnsi="Calibri"/>
              </w:rPr>
              <w:t xml:space="preserve">auge the level of attention students present during the film and modify its use/edit the video, if necessary, for future lessons.   </w:t>
            </w:r>
          </w:p>
          <w:p w14:paraId="6C9B17D7" w14:textId="77777777" w:rsidR="00F65742" w:rsidRDefault="00F65742" w:rsidP="00F65742"/>
          <w:p w14:paraId="2BA7F251" w14:textId="15BF7292" w:rsidR="00F65742" w:rsidRPr="00F65742" w:rsidRDefault="00F65742" w:rsidP="00F65742"/>
        </w:tc>
      </w:tr>
    </w:tbl>
    <w:p w14:paraId="3A16C784" w14:textId="7D463F0E" w:rsidR="00F65742" w:rsidRPr="00961B58" w:rsidRDefault="00F65742" w:rsidP="00961B58"/>
    <w:sectPr w:rsidR="00F65742" w:rsidRPr="00961B58" w:rsidSect="00961B58">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BC946" w14:textId="77777777" w:rsidR="00BB5376" w:rsidRDefault="00BB5376" w:rsidP="00F65742">
      <w:r>
        <w:separator/>
      </w:r>
    </w:p>
  </w:endnote>
  <w:endnote w:type="continuationSeparator" w:id="0">
    <w:p w14:paraId="26C2EAAB" w14:textId="77777777" w:rsidR="00BB5376" w:rsidRDefault="00BB5376" w:rsidP="00F6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A7859" w14:textId="77777777" w:rsidR="00BB5376" w:rsidRDefault="00BB5376" w:rsidP="00F65742">
      <w:r>
        <w:separator/>
      </w:r>
    </w:p>
  </w:footnote>
  <w:footnote w:type="continuationSeparator" w:id="0">
    <w:p w14:paraId="6392CD33" w14:textId="77777777" w:rsidR="00BB5376" w:rsidRDefault="00BB5376" w:rsidP="00F65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2137"/>
    <w:multiLevelType w:val="hybridMultilevel"/>
    <w:tmpl w:val="DE1212D6"/>
    <w:lvl w:ilvl="0" w:tplc="04090001">
      <w:start w:val="1"/>
      <w:numFmt w:val="bullet"/>
      <w:lvlText w:val=""/>
      <w:lvlJc w:val="left"/>
      <w:pPr>
        <w:tabs>
          <w:tab w:val="num" w:pos="823"/>
        </w:tabs>
        <w:ind w:left="823" w:hanging="360"/>
      </w:pPr>
      <w:rPr>
        <w:rFonts w:ascii="Symbol" w:hAnsi="Symbol" w:hint="default"/>
      </w:rPr>
    </w:lvl>
    <w:lvl w:ilvl="1" w:tplc="04090003" w:tentative="1">
      <w:start w:val="1"/>
      <w:numFmt w:val="bullet"/>
      <w:lvlText w:val="o"/>
      <w:lvlJc w:val="left"/>
      <w:pPr>
        <w:tabs>
          <w:tab w:val="num" w:pos="1543"/>
        </w:tabs>
        <w:ind w:left="1543" w:hanging="360"/>
      </w:pPr>
      <w:rPr>
        <w:rFonts w:ascii="Courier New" w:hAnsi="Courier New" w:hint="default"/>
      </w:rPr>
    </w:lvl>
    <w:lvl w:ilvl="2" w:tplc="04090005" w:tentative="1">
      <w:start w:val="1"/>
      <w:numFmt w:val="bullet"/>
      <w:lvlText w:val=""/>
      <w:lvlJc w:val="left"/>
      <w:pPr>
        <w:tabs>
          <w:tab w:val="num" w:pos="2263"/>
        </w:tabs>
        <w:ind w:left="2263" w:hanging="360"/>
      </w:pPr>
      <w:rPr>
        <w:rFonts w:ascii="Wingdings" w:hAnsi="Wingdings" w:hint="default"/>
      </w:rPr>
    </w:lvl>
    <w:lvl w:ilvl="3" w:tplc="04090001" w:tentative="1">
      <w:start w:val="1"/>
      <w:numFmt w:val="bullet"/>
      <w:lvlText w:val=""/>
      <w:lvlJc w:val="left"/>
      <w:pPr>
        <w:tabs>
          <w:tab w:val="num" w:pos="2983"/>
        </w:tabs>
        <w:ind w:left="2983" w:hanging="360"/>
      </w:pPr>
      <w:rPr>
        <w:rFonts w:ascii="Symbol" w:hAnsi="Symbol" w:hint="default"/>
      </w:rPr>
    </w:lvl>
    <w:lvl w:ilvl="4" w:tplc="04090003" w:tentative="1">
      <w:start w:val="1"/>
      <w:numFmt w:val="bullet"/>
      <w:lvlText w:val="o"/>
      <w:lvlJc w:val="left"/>
      <w:pPr>
        <w:tabs>
          <w:tab w:val="num" w:pos="3703"/>
        </w:tabs>
        <w:ind w:left="3703" w:hanging="360"/>
      </w:pPr>
      <w:rPr>
        <w:rFonts w:ascii="Courier New" w:hAnsi="Courier New" w:hint="default"/>
      </w:rPr>
    </w:lvl>
    <w:lvl w:ilvl="5" w:tplc="04090005" w:tentative="1">
      <w:start w:val="1"/>
      <w:numFmt w:val="bullet"/>
      <w:lvlText w:val=""/>
      <w:lvlJc w:val="left"/>
      <w:pPr>
        <w:tabs>
          <w:tab w:val="num" w:pos="4423"/>
        </w:tabs>
        <w:ind w:left="4423" w:hanging="360"/>
      </w:pPr>
      <w:rPr>
        <w:rFonts w:ascii="Wingdings" w:hAnsi="Wingdings" w:hint="default"/>
      </w:rPr>
    </w:lvl>
    <w:lvl w:ilvl="6" w:tplc="04090001" w:tentative="1">
      <w:start w:val="1"/>
      <w:numFmt w:val="bullet"/>
      <w:lvlText w:val=""/>
      <w:lvlJc w:val="left"/>
      <w:pPr>
        <w:tabs>
          <w:tab w:val="num" w:pos="5143"/>
        </w:tabs>
        <w:ind w:left="5143" w:hanging="360"/>
      </w:pPr>
      <w:rPr>
        <w:rFonts w:ascii="Symbol" w:hAnsi="Symbol" w:hint="default"/>
      </w:rPr>
    </w:lvl>
    <w:lvl w:ilvl="7" w:tplc="04090003" w:tentative="1">
      <w:start w:val="1"/>
      <w:numFmt w:val="bullet"/>
      <w:lvlText w:val="o"/>
      <w:lvlJc w:val="left"/>
      <w:pPr>
        <w:tabs>
          <w:tab w:val="num" w:pos="5863"/>
        </w:tabs>
        <w:ind w:left="5863" w:hanging="360"/>
      </w:pPr>
      <w:rPr>
        <w:rFonts w:ascii="Courier New" w:hAnsi="Courier New" w:hint="default"/>
      </w:rPr>
    </w:lvl>
    <w:lvl w:ilvl="8" w:tplc="04090005" w:tentative="1">
      <w:start w:val="1"/>
      <w:numFmt w:val="bullet"/>
      <w:lvlText w:val=""/>
      <w:lvlJc w:val="left"/>
      <w:pPr>
        <w:tabs>
          <w:tab w:val="num" w:pos="6583"/>
        </w:tabs>
        <w:ind w:left="6583" w:hanging="360"/>
      </w:pPr>
      <w:rPr>
        <w:rFonts w:ascii="Wingdings" w:hAnsi="Wingdings" w:hint="default"/>
      </w:rPr>
    </w:lvl>
  </w:abstractNum>
  <w:abstractNum w:abstractNumId="1" w15:restartNumberingAfterBreak="0">
    <w:nsid w:val="19395788"/>
    <w:multiLevelType w:val="hybridMultilevel"/>
    <w:tmpl w:val="94F62E98"/>
    <w:lvl w:ilvl="0" w:tplc="04090001">
      <w:start w:val="1"/>
      <w:numFmt w:val="bullet"/>
      <w:lvlText w:val=""/>
      <w:lvlJc w:val="left"/>
      <w:pPr>
        <w:tabs>
          <w:tab w:val="num" w:pos="821"/>
        </w:tabs>
        <w:ind w:left="821" w:hanging="360"/>
      </w:pPr>
      <w:rPr>
        <w:rFonts w:ascii="Symbol" w:hAnsi="Symbol" w:hint="default"/>
      </w:rPr>
    </w:lvl>
    <w:lvl w:ilvl="1" w:tplc="04090003" w:tentative="1">
      <w:start w:val="1"/>
      <w:numFmt w:val="bullet"/>
      <w:lvlText w:val="o"/>
      <w:lvlJc w:val="left"/>
      <w:pPr>
        <w:tabs>
          <w:tab w:val="num" w:pos="1541"/>
        </w:tabs>
        <w:ind w:left="1541" w:hanging="360"/>
      </w:pPr>
      <w:rPr>
        <w:rFonts w:ascii="Courier New" w:hAnsi="Courier New" w:hint="default"/>
      </w:rPr>
    </w:lvl>
    <w:lvl w:ilvl="2" w:tplc="04090005" w:tentative="1">
      <w:start w:val="1"/>
      <w:numFmt w:val="bullet"/>
      <w:lvlText w:val=""/>
      <w:lvlJc w:val="left"/>
      <w:pPr>
        <w:tabs>
          <w:tab w:val="num" w:pos="2261"/>
        </w:tabs>
        <w:ind w:left="2261" w:hanging="360"/>
      </w:pPr>
      <w:rPr>
        <w:rFonts w:ascii="Wingdings" w:hAnsi="Wingdings" w:hint="default"/>
      </w:rPr>
    </w:lvl>
    <w:lvl w:ilvl="3" w:tplc="04090001" w:tentative="1">
      <w:start w:val="1"/>
      <w:numFmt w:val="bullet"/>
      <w:lvlText w:val=""/>
      <w:lvlJc w:val="left"/>
      <w:pPr>
        <w:tabs>
          <w:tab w:val="num" w:pos="2981"/>
        </w:tabs>
        <w:ind w:left="2981" w:hanging="360"/>
      </w:pPr>
      <w:rPr>
        <w:rFonts w:ascii="Symbol" w:hAnsi="Symbol" w:hint="default"/>
      </w:rPr>
    </w:lvl>
    <w:lvl w:ilvl="4" w:tplc="04090003" w:tentative="1">
      <w:start w:val="1"/>
      <w:numFmt w:val="bullet"/>
      <w:lvlText w:val="o"/>
      <w:lvlJc w:val="left"/>
      <w:pPr>
        <w:tabs>
          <w:tab w:val="num" w:pos="3701"/>
        </w:tabs>
        <w:ind w:left="3701" w:hanging="360"/>
      </w:pPr>
      <w:rPr>
        <w:rFonts w:ascii="Courier New" w:hAnsi="Courier New" w:hint="default"/>
      </w:rPr>
    </w:lvl>
    <w:lvl w:ilvl="5" w:tplc="04090005" w:tentative="1">
      <w:start w:val="1"/>
      <w:numFmt w:val="bullet"/>
      <w:lvlText w:val=""/>
      <w:lvlJc w:val="left"/>
      <w:pPr>
        <w:tabs>
          <w:tab w:val="num" w:pos="4421"/>
        </w:tabs>
        <w:ind w:left="4421" w:hanging="360"/>
      </w:pPr>
      <w:rPr>
        <w:rFonts w:ascii="Wingdings" w:hAnsi="Wingdings" w:hint="default"/>
      </w:rPr>
    </w:lvl>
    <w:lvl w:ilvl="6" w:tplc="04090001" w:tentative="1">
      <w:start w:val="1"/>
      <w:numFmt w:val="bullet"/>
      <w:lvlText w:val=""/>
      <w:lvlJc w:val="left"/>
      <w:pPr>
        <w:tabs>
          <w:tab w:val="num" w:pos="5141"/>
        </w:tabs>
        <w:ind w:left="5141" w:hanging="360"/>
      </w:pPr>
      <w:rPr>
        <w:rFonts w:ascii="Symbol" w:hAnsi="Symbol" w:hint="default"/>
      </w:rPr>
    </w:lvl>
    <w:lvl w:ilvl="7" w:tplc="04090003" w:tentative="1">
      <w:start w:val="1"/>
      <w:numFmt w:val="bullet"/>
      <w:lvlText w:val="o"/>
      <w:lvlJc w:val="left"/>
      <w:pPr>
        <w:tabs>
          <w:tab w:val="num" w:pos="5861"/>
        </w:tabs>
        <w:ind w:left="5861" w:hanging="360"/>
      </w:pPr>
      <w:rPr>
        <w:rFonts w:ascii="Courier New" w:hAnsi="Courier New" w:hint="default"/>
      </w:rPr>
    </w:lvl>
    <w:lvl w:ilvl="8" w:tplc="04090005" w:tentative="1">
      <w:start w:val="1"/>
      <w:numFmt w:val="bullet"/>
      <w:lvlText w:val=""/>
      <w:lvlJc w:val="left"/>
      <w:pPr>
        <w:tabs>
          <w:tab w:val="num" w:pos="6581"/>
        </w:tabs>
        <w:ind w:left="6581" w:hanging="360"/>
      </w:pPr>
      <w:rPr>
        <w:rFonts w:ascii="Wingdings" w:hAnsi="Wingdings" w:hint="default"/>
      </w:rPr>
    </w:lvl>
  </w:abstractNum>
  <w:abstractNum w:abstractNumId="2" w15:restartNumberingAfterBreak="0">
    <w:nsid w:val="4FE6024B"/>
    <w:multiLevelType w:val="hybridMultilevel"/>
    <w:tmpl w:val="5CCA2D54"/>
    <w:lvl w:ilvl="0" w:tplc="04090001">
      <w:start w:val="1"/>
      <w:numFmt w:val="bullet"/>
      <w:lvlText w:val=""/>
      <w:lvlJc w:val="left"/>
      <w:pPr>
        <w:tabs>
          <w:tab w:val="num" w:pos="823"/>
        </w:tabs>
        <w:ind w:left="823" w:hanging="360"/>
      </w:pPr>
      <w:rPr>
        <w:rFonts w:ascii="Symbol" w:hAnsi="Symbol" w:hint="default"/>
      </w:rPr>
    </w:lvl>
    <w:lvl w:ilvl="1" w:tplc="04090003" w:tentative="1">
      <w:start w:val="1"/>
      <w:numFmt w:val="bullet"/>
      <w:lvlText w:val="o"/>
      <w:lvlJc w:val="left"/>
      <w:pPr>
        <w:tabs>
          <w:tab w:val="num" w:pos="1543"/>
        </w:tabs>
        <w:ind w:left="1543" w:hanging="360"/>
      </w:pPr>
      <w:rPr>
        <w:rFonts w:ascii="Courier New" w:hAnsi="Courier New" w:hint="default"/>
      </w:rPr>
    </w:lvl>
    <w:lvl w:ilvl="2" w:tplc="04090005" w:tentative="1">
      <w:start w:val="1"/>
      <w:numFmt w:val="bullet"/>
      <w:lvlText w:val=""/>
      <w:lvlJc w:val="left"/>
      <w:pPr>
        <w:tabs>
          <w:tab w:val="num" w:pos="2263"/>
        </w:tabs>
        <w:ind w:left="2263" w:hanging="360"/>
      </w:pPr>
      <w:rPr>
        <w:rFonts w:ascii="Wingdings" w:hAnsi="Wingdings" w:hint="default"/>
      </w:rPr>
    </w:lvl>
    <w:lvl w:ilvl="3" w:tplc="04090001" w:tentative="1">
      <w:start w:val="1"/>
      <w:numFmt w:val="bullet"/>
      <w:lvlText w:val=""/>
      <w:lvlJc w:val="left"/>
      <w:pPr>
        <w:tabs>
          <w:tab w:val="num" w:pos="2983"/>
        </w:tabs>
        <w:ind w:left="2983" w:hanging="360"/>
      </w:pPr>
      <w:rPr>
        <w:rFonts w:ascii="Symbol" w:hAnsi="Symbol" w:hint="default"/>
      </w:rPr>
    </w:lvl>
    <w:lvl w:ilvl="4" w:tplc="04090003" w:tentative="1">
      <w:start w:val="1"/>
      <w:numFmt w:val="bullet"/>
      <w:lvlText w:val="o"/>
      <w:lvlJc w:val="left"/>
      <w:pPr>
        <w:tabs>
          <w:tab w:val="num" w:pos="3703"/>
        </w:tabs>
        <w:ind w:left="3703" w:hanging="360"/>
      </w:pPr>
      <w:rPr>
        <w:rFonts w:ascii="Courier New" w:hAnsi="Courier New" w:hint="default"/>
      </w:rPr>
    </w:lvl>
    <w:lvl w:ilvl="5" w:tplc="04090005" w:tentative="1">
      <w:start w:val="1"/>
      <w:numFmt w:val="bullet"/>
      <w:lvlText w:val=""/>
      <w:lvlJc w:val="left"/>
      <w:pPr>
        <w:tabs>
          <w:tab w:val="num" w:pos="4423"/>
        </w:tabs>
        <w:ind w:left="4423" w:hanging="360"/>
      </w:pPr>
      <w:rPr>
        <w:rFonts w:ascii="Wingdings" w:hAnsi="Wingdings" w:hint="default"/>
      </w:rPr>
    </w:lvl>
    <w:lvl w:ilvl="6" w:tplc="04090001" w:tentative="1">
      <w:start w:val="1"/>
      <w:numFmt w:val="bullet"/>
      <w:lvlText w:val=""/>
      <w:lvlJc w:val="left"/>
      <w:pPr>
        <w:tabs>
          <w:tab w:val="num" w:pos="5143"/>
        </w:tabs>
        <w:ind w:left="5143" w:hanging="360"/>
      </w:pPr>
      <w:rPr>
        <w:rFonts w:ascii="Symbol" w:hAnsi="Symbol" w:hint="default"/>
      </w:rPr>
    </w:lvl>
    <w:lvl w:ilvl="7" w:tplc="04090003" w:tentative="1">
      <w:start w:val="1"/>
      <w:numFmt w:val="bullet"/>
      <w:lvlText w:val="o"/>
      <w:lvlJc w:val="left"/>
      <w:pPr>
        <w:tabs>
          <w:tab w:val="num" w:pos="5863"/>
        </w:tabs>
        <w:ind w:left="5863" w:hanging="360"/>
      </w:pPr>
      <w:rPr>
        <w:rFonts w:ascii="Courier New" w:hAnsi="Courier New" w:hint="default"/>
      </w:rPr>
    </w:lvl>
    <w:lvl w:ilvl="8" w:tplc="04090005" w:tentative="1">
      <w:start w:val="1"/>
      <w:numFmt w:val="bullet"/>
      <w:lvlText w:val=""/>
      <w:lvlJc w:val="left"/>
      <w:pPr>
        <w:tabs>
          <w:tab w:val="num" w:pos="6583"/>
        </w:tabs>
        <w:ind w:left="6583" w:hanging="360"/>
      </w:pPr>
      <w:rPr>
        <w:rFonts w:ascii="Wingdings" w:hAnsi="Wingdings" w:hint="default"/>
      </w:rPr>
    </w:lvl>
  </w:abstractNum>
  <w:abstractNum w:abstractNumId="3" w15:restartNumberingAfterBreak="0">
    <w:nsid w:val="7A0020A7"/>
    <w:multiLevelType w:val="hybridMultilevel"/>
    <w:tmpl w:val="DE2834B6"/>
    <w:lvl w:ilvl="0" w:tplc="04090001">
      <w:start w:val="1"/>
      <w:numFmt w:val="bullet"/>
      <w:lvlText w:val=""/>
      <w:lvlJc w:val="left"/>
      <w:pPr>
        <w:tabs>
          <w:tab w:val="num" w:pos="823"/>
        </w:tabs>
        <w:ind w:left="823" w:hanging="360"/>
      </w:pPr>
      <w:rPr>
        <w:rFonts w:ascii="Symbol" w:hAnsi="Symbol" w:hint="default"/>
      </w:rPr>
    </w:lvl>
    <w:lvl w:ilvl="1" w:tplc="04090003" w:tentative="1">
      <w:start w:val="1"/>
      <w:numFmt w:val="bullet"/>
      <w:lvlText w:val="o"/>
      <w:lvlJc w:val="left"/>
      <w:pPr>
        <w:tabs>
          <w:tab w:val="num" w:pos="1543"/>
        </w:tabs>
        <w:ind w:left="1543" w:hanging="360"/>
      </w:pPr>
      <w:rPr>
        <w:rFonts w:ascii="Courier New" w:hAnsi="Courier New" w:hint="default"/>
      </w:rPr>
    </w:lvl>
    <w:lvl w:ilvl="2" w:tplc="04090005" w:tentative="1">
      <w:start w:val="1"/>
      <w:numFmt w:val="bullet"/>
      <w:lvlText w:val=""/>
      <w:lvlJc w:val="left"/>
      <w:pPr>
        <w:tabs>
          <w:tab w:val="num" w:pos="2263"/>
        </w:tabs>
        <w:ind w:left="2263" w:hanging="360"/>
      </w:pPr>
      <w:rPr>
        <w:rFonts w:ascii="Wingdings" w:hAnsi="Wingdings" w:hint="default"/>
      </w:rPr>
    </w:lvl>
    <w:lvl w:ilvl="3" w:tplc="04090001" w:tentative="1">
      <w:start w:val="1"/>
      <w:numFmt w:val="bullet"/>
      <w:lvlText w:val=""/>
      <w:lvlJc w:val="left"/>
      <w:pPr>
        <w:tabs>
          <w:tab w:val="num" w:pos="2983"/>
        </w:tabs>
        <w:ind w:left="2983" w:hanging="360"/>
      </w:pPr>
      <w:rPr>
        <w:rFonts w:ascii="Symbol" w:hAnsi="Symbol" w:hint="default"/>
      </w:rPr>
    </w:lvl>
    <w:lvl w:ilvl="4" w:tplc="04090003" w:tentative="1">
      <w:start w:val="1"/>
      <w:numFmt w:val="bullet"/>
      <w:lvlText w:val="o"/>
      <w:lvlJc w:val="left"/>
      <w:pPr>
        <w:tabs>
          <w:tab w:val="num" w:pos="3703"/>
        </w:tabs>
        <w:ind w:left="3703" w:hanging="360"/>
      </w:pPr>
      <w:rPr>
        <w:rFonts w:ascii="Courier New" w:hAnsi="Courier New" w:hint="default"/>
      </w:rPr>
    </w:lvl>
    <w:lvl w:ilvl="5" w:tplc="04090005" w:tentative="1">
      <w:start w:val="1"/>
      <w:numFmt w:val="bullet"/>
      <w:lvlText w:val=""/>
      <w:lvlJc w:val="left"/>
      <w:pPr>
        <w:tabs>
          <w:tab w:val="num" w:pos="4423"/>
        </w:tabs>
        <w:ind w:left="4423" w:hanging="360"/>
      </w:pPr>
      <w:rPr>
        <w:rFonts w:ascii="Wingdings" w:hAnsi="Wingdings" w:hint="default"/>
      </w:rPr>
    </w:lvl>
    <w:lvl w:ilvl="6" w:tplc="04090001" w:tentative="1">
      <w:start w:val="1"/>
      <w:numFmt w:val="bullet"/>
      <w:lvlText w:val=""/>
      <w:lvlJc w:val="left"/>
      <w:pPr>
        <w:tabs>
          <w:tab w:val="num" w:pos="5143"/>
        </w:tabs>
        <w:ind w:left="5143" w:hanging="360"/>
      </w:pPr>
      <w:rPr>
        <w:rFonts w:ascii="Symbol" w:hAnsi="Symbol" w:hint="default"/>
      </w:rPr>
    </w:lvl>
    <w:lvl w:ilvl="7" w:tplc="04090003" w:tentative="1">
      <w:start w:val="1"/>
      <w:numFmt w:val="bullet"/>
      <w:lvlText w:val="o"/>
      <w:lvlJc w:val="left"/>
      <w:pPr>
        <w:tabs>
          <w:tab w:val="num" w:pos="5863"/>
        </w:tabs>
        <w:ind w:left="5863" w:hanging="360"/>
      </w:pPr>
      <w:rPr>
        <w:rFonts w:ascii="Courier New" w:hAnsi="Courier New" w:hint="default"/>
      </w:rPr>
    </w:lvl>
    <w:lvl w:ilvl="8" w:tplc="04090005" w:tentative="1">
      <w:start w:val="1"/>
      <w:numFmt w:val="bullet"/>
      <w:lvlText w:val=""/>
      <w:lvlJc w:val="left"/>
      <w:pPr>
        <w:tabs>
          <w:tab w:val="num" w:pos="6583"/>
        </w:tabs>
        <w:ind w:left="6583" w:hanging="360"/>
      </w:pPr>
      <w:rPr>
        <w:rFonts w:ascii="Wingdings" w:hAnsi="Wingdings" w:hint="default"/>
      </w:rPr>
    </w:lvl>
  </w:abstractNum>
  <w:abstractNum w:abstractNumId="4" w15:restartNumberingAfterBreak="0">
    <w:nsid w:val="7AB430FA"/>
    <w:multiLevelType w:val="hybridMultilevel"/>
    <w:tmpl w:val="2438EB22"/>
    <w:lvl w:ilvl="0" w:tplc="04090001">
      <w:start w:val="1"/>
      <w:numFmt w:val="bullet"/>
      <w:lvlText w:val=""/>
      <w:lvlJc w:val="left"/>
      <w:pPr>
        <w:tabs>
          <w:tab w:val="num" w:pos="823"/>
        </w:tabs>
        <w:ind w:left="823" w:hanging="360"/>
      </w:pPr>
      <w:rPr>
        <w:rFonts w:ascii="Symbol" w:hAnsi="Symbol" w:hint="default"/>
      </w:rPr>
    </w:lvl>
    <w:lvl w:ilvl="1" w:tplc="04090003" w:tentative="1">
      <w:start w:val="1"/>
      <w:numFmt w:val="bullet"/>
      <w:lvlText w:val="o"/>
      <w:lvlJc w:val="left"/>
      <w:pPr>
        <w:tabs>
          <w:tab w:val="num" w:pos="1543"/>
        </w:tabs>
        <w:ind w:left="1543" w:hanging="360"/>
      </w:pPr>
      <w:rPr>
        <w:rFonts w:ascii="Courier New" w:hAnsi="Courier New" w:hint="default"/>
      </w:rPr>
    </w:lvl>
    <w:lvl w:ilvl="2" w:tplc="04090005" w:tentative="1">
      <w:start w:val="1"/>
      <w:numFmt w:val="bullet"/>
      <w:lvlText w:val=""/>
      <w:lvlJc w:val="left"/>
      <w:pPr>
        <w:tabs>
          <w:tab w:val="num" w:pos="2263"/>
        </w:tabs>
        <w:ind w:left="2263" w:hanging="360"/>
      </w:pPr>
      <w:rPr>
        <w:rFonts w:ascii="Wingdings" w:hAnsi="Wingdings" w:hint="default"/>
      </w:rPr>
    </w:lvl>
    <w:lvl w:ilvl="3" w:tplc="04090001" w:tentative="1">
      <w:start w:val="1"/>
      <w:numFmt w:val="bullet"/>
      <w:lvlText w:val=""/>
      <w:lvlJc w:val="left"/>
      <w:pPr>
        <w:tabs>
          <w:tab w:val="num" w:pos="2983"/>
        </w:tabs>
        <w:ind w:left="2983" w:hanging="360"/>
      </w:pPr>
      <w:rPr>
        <w:rFonts w:ascii="Symbol" w:hAnsi="Symbol" w:hint="default"/>
      </w:rPr>
    </w:lvl>
    <w:lvl w:ilvl="4" w:tplc="04090003" w:tentative="1">
      <w:start w:val="1"/>
      <w:numFmt w:val="bullet"/>
      <w:lvlText w:val="o"/>
      <w:lvlJc w:val="left"/>
      <w:pPr>
        <w:tabs>
          <w:tab w:val="num" w:pos="3703"/>
        </w:tabs>
        <w:ind w:left="3703" w:hanging="360"/>
      </w:pPr>
      <w:rPr>
        <w:rFonts w:ascii="Courier New" w:hAnsi="Courier New" w:hint="default"/>
      </w:rPr>
    </w:lvl>
    <w:lvl w:ilvl="5" w:tplc="04090005" w:tentative="1">
      <w:start w:val="1"/>
      <w:numFmt w:val="bullet"/>
      <w:lvlText w:val=""/>
      <w:lvlJc w:val="left"/>
      <w:pPr>
        <w:tabs>
          <w:tab w:val="num" w:pos="4423"/>
        </w:tabs>
        <w:ind w:left="4423" w:hanging="360"/>
      </w:pPr>
      <w:rPr>
        <w:rFonts w:ascii="Wingdings" w:hAnsi="Wingdings" w:hint="default"/>
      </w:rPr>
    </w:lvl>
    <w:lvl w:ilvl="6" w:tplc="04090001" w:tentative="1">
      <w:start w:val="1"/>
      <w:numFmt w:val="bullet"/>
      <w:lvlText w:val=""/>
      <w:lvlJc w:val="left"/>
      <w:pPr>
        <w:tabs>
          <w:tab w:val="num" w:pos="5143"/>
        </w:tabs>
        <w:ind w:left="5143" w:hanging="360"/>
      </w:pPr>
      <w:rPr>
        <w:rFonts w:ascii="Symbol" w:hAnsi="Symbol" w:hint="default"/>
      </w:rPr>
    </w:lvl>
    <w:lvl w:ilvl="7" w:tplc="04090003" w:tentative="1">
      <w:start w:val="1"/>
      <w:numFmt w:val="bullet"/>
      <w:lvlText w:val="o"/>
      <w:lvlJc w:val="left"/>
      <w:pPr>
        <w:tabs>
          <w:tab w:val="num" w:pos="5863"/>
        </w:tabs>
        <w:ind w:left="5863" w:hanging="360"/>
      </w:pPr>
      <w:rPr>
        <w:rFonts w:ascii="Courier New" w:hAnsi="Courier New" w:hint="default"/>
      </w:rPr>
    </w:lvl>
    <w:lvl w:ilvl="8" w:tplc="04090005" w:tentative="1">
      <w:start w:val="1"/>
      <w:numFmt w:val="bullet"/>
      <w:lvlText w:val=""/>
      <w:lvlJc w:val="left"/>
      <w:pPr>
        <w:tabs>
          <w:tab w:val="num" w:pos="6583"/>
        </w:tabs>
        <w:ind w:left="6583"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NotTrackMoves/>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61BE"/>
    <w:rsid w:val="00004B80"/>
    <w:rsid w:val="00005F02"/>
    <w:rsid w:val="00022084"/>
    <w:rsid w:val="00032E08"/>
    <w:rsid w:val="00087367"/>
    <w:rsid w:val="000876A9"/>
    <w:rsid w:val="00087734"/>
    <w:rsid w:val="000A155A"/>
    <w:rsid w:val="000C4DF6"/>
    <w:rsid w:val="000E105C"/>
    <w:rsid w:val="00157A41"/>
    <w:rsid w:val="00182F09"/>
    <w:rsid w:val="001B7AA6"/>
    <w:rsid w:val="001E583B"/>
    <w:rsid w:val="001E7067"/>
    <w:rsid w:val="001F2E88"/>
    <w:rsid w:val="00256D79"/>
    <w:rsid w:val="00261901"/>
    <w:rsid w:val="002761BE"/>
    <w:rsid w:val="00281373"/>
    <w:rsid w:val="00284F02"/>
    <w:rsid w:val="00285EC1"/>
    <w:rsid w:val="002C6F3B"/>
    <w:rsid w:val="002E30A6"/>
    <w:rsid w:val="002E7690"/>
    <w:rsid w:val="003354E1"/>
    <w:rsid w:val="00341ED6"/>
    <w:rsid w:val="00342629"/>
    <w:rsid w:val="0035267B"/>
    <w:rsid w:val="00395B63"/>
    <w:rsid w:val="003C556D"/>
    <w:rsid w:val="003D2346"/>
    <w:rsid w:val="003D728E"/>
    <w:rsid w:val="003E18BB"/>
    <w:rsid w:val="0042257C"/>
    <w:rsid w:val="00444D37"/>
    <w:rsid w:val="00455BC4"/>
    <w:rsid w:val="00480F8D"/>
    <w:rsid w:val="004C29FF"/>
    <w:rsid w:val="004C6244"/>
    <w:rsid w:val="00534A44"/>
    <w:rsid w:val="0054737A"/>
    <w:rsid w:val="00556867"/>
    <w:rsid w:val="00562C61"/>
    <w:rsid w:val="00565A73"/>
    <w:rsid w:val="00565DA4"/>
    <w:rsid w:val="0057382A"/>
    <w:rsid w:val="00586DBB"/>
    <w:rsid w:val="00596C53"/>
    <w:rsid w:val="005C0A1B"/>
    <w:rsid w:val="005D2A61"/>
    <w:rsid w:val="005E529F"/>
    <w:rsid w:val="006126DF"/>
    <w:rsid w:val="0061382A"/>
    <w:rsid w:val="00626B37"/>
    <w:rsid w:val="00631470"/>
    <w:rsid w:val="0065390B"/>
    <w:rsid w:val="00667714"/>
    <w:rsid w:val="006A3B97"/>
    <w:rsid w:val="006F1728"/>
    <w:rsid w:val="007106B3"/>
    <w:rsid w:val="00750BEE"/>
    <w:rsid w:val="00753F86"/>
    <w:rsid w:val="0075461A"/>
    <w:rsid w:val="007A303C"/>
    <w:rsid w:val="007F1937"/>
    <w:rsid w:val="00833339"/>
    <w:rsid w:val="008C5569"/>
    <w:rsid w:val="008E733A"/>
    <w:rsid w:val="009153B5"/>
    <w:rsid w:val="00961B58"/>
    <w:rsid w:val="009720A2"/>
    <w:rsid w:val="009C5273"/>
    <w:rsid w:val="009F7167"/>
    <w:rsid w:val="00A051B4"/>
    <w:rsid w:val="00A25787"/>
    <w:rsid w:val="00A33534"/>
    <w:rsid w:val="00A46BD8"/>
    <w:rsid w:val="00A54007"/>
    <w:rsid w:val="00A71B25"/>
    <w:rsid w:val="00A77233"/>
    <w:rsid w:val="00A77EC3"/>
    <w:rsid w:val="00A80CB8"/>
    <w:rsid w:val="00A8263C"/>
    <w:rsid w:val="00AA242D"/>
    <w:rsid w:val="00AE07F4"/>
    <w:rsid w:val="00B0336D"/>
    <w:rsid w:val="00B1568C"/>
    <w:rsid w:val="00B54E16"/>
    <w:rsid w:val="00B70762"/>
    <w:rsid w:val="00B73559"/>
    <w:rsid w:val="00B8426C"/>
    <w:rsid w:val="00BB5376"/>
    <w:rsid w:val="00BF79AF"/>
    <w:rsid w:val="00C2158C"/>
    <w:rsid w:val="00C25D75"/>
    <w:rsid w:val="00C27232"/>
    <w:rsid w:val="00C31B1E"/>
    <w:rsid w:val="00CA0652"/>
    <w:rsid w:val="00CA6FB2"/>
    <w:rsid w:val="00CF5A95"/>
    <w:rsid w:val="00D24719"/>
    <w:rsid w:val="00D35525"/>
    <w:rsid w:val="00D40EAB"/>
    <w:rsid w:val="00D7575A"/>
    <w:rsid w:val="00D8293B"/>
    <w:rsid w:val="00D82BEA"/>
    <w:rsid w:val="00D94A09"/>
    <w:rsid w:val="00DA26A8"/>
    <w:rsid w:val="00DD044C"/>
    <w:rsid w:val="00DD05C7"/>
    <w:rsid w:val="00E36070"/>
    <w:rsid w:val="00E53126"/>
    <w:rsid w:val="00EB5960"/>
    <w:rsid w:val="00EF4BF0"/>
    <w:rsid w:val="00F077C5"/>
    <w:rsid w:val="00F10DDA"/>
    <w:rsid w:val="00F12333"/>
    <w:rsid w:val="00F30A16"/>
    <w:rsid w:val="00F4111F"/>
    <w:rsid w:val="00F65742"/>
    <w:rsid w:val="00F66799"/>
    <w:rsid w:val="00F66F4F"/>
    <w:rsid w:val="00F7310E"/>
    <w:rsid w:val="00FC4423"/>
    <w:rsid w:val="00FD00A5"/>
    <w:rsid w:val="00FF5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B75F0E"/>
  <w15:docId w15:val="{3BFD3CE9-B427-465F-A98E-9F083C10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6D"/>
    <w:pPr>
      <w:widowControl w:val="0"/>
      <w:autoSpaceDE w:val="0"/>
      <w:autoSpaceDN w:val="0"/>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C556D"/>
    <w:pPr>
      <w:spacing w:before="4"/>
    </w:pPr>
    <w:rPr>
      <w:rFonts w:ascii="Calibri" w:hAnsi="Calibri" w:cs="Calibri"/>
      <w:b/>
      <w:bCs/>
    </w:rPr>
  </w:style>
  <w:style w:type="character" w:customStyle="1" w:styleId="BodyTextChar">
    <w:name w:val="Body Text Char"/>
    <w:link w:val="BodyText"/>
    <w:uiPriority w:val="99"/>
    <w:semiHidden/>
    <w:locked/>
    <w:rsid w:val="00C27232"/>
    <w:rPr>
      <w:rFonts w:ascii="Arial" w:hAnsi="Arial" w:cs="Arial"/>
    </w:rPr>
  </w:style>
  <w:style w:type="paragraph" w:styleId="ListParagraph">
    <w:name w:val="List Paragraph"/>
    <w:basedOn w:val="Normal"/>
    <w:uiPriority w:val="99"/>
    <w:qFormat/>
    <w:rsid w:val="003C556D"/>
  </w:style>
  <w:style w:type="paragraph" w:customStyle="1" w:styleId="TableParagraph">
    <w:name w:val="Table Paragraph"/>
    <w:basedOn w:val="Normal"/>
    <w:uiPriority w:val="99"/>
    <w:rsid w:val="003C556D"/>
    <w:pPr>
      <w:spacing w:line="265" w:lineRule="exact"/>
      <w:ind w:left="103"/>
    </w:pPr>
  </w:style>
  <w:style w:type="character" w:styleId="Hyperlink">
    <w:name w:val="Hyperlink"/>
    <w:uiPriority w:val="99"/>
    <w:rsid w:val="009F7167"/>
    <w:rPr>
      <w:rFonts w:cs="Times New Roman"/>
      <w:color w:val="0000FF"/>
      <w:u w:val="single"/>
    </w:rPr>
  </w:style>
  <w:style w:type="paragraph" w:styleId="Header">
    <w:name w:val="header"/>
    <w:basedOn w:val="Normal"/>
    <w:link w:val="HeaderChar"/>
    <w:uiPriority w:val="99"/>
    <w:unhideWhenUsed/>
    <w:rsid w:val="00F65742"/>
    <w:pPr>
      <w:tabs>
        <w:tab w:val="center" w:pos="4680"/>
        <w:tab w:val="right" w:pos="9360"/>
      </w:tabs>
    </w:pPr>
  </w:style>
  <w:style w:type="character" w:customStyle="1" w:styleId="HeaderChar">
    <w:name w:val="Header Char"/>
    <w:link w:val="Header"/>
    <w:uiPriority w:val="99"/>
    <w:rsid w:val="00F65742"/>
    <w:rPr>
      <w:rFonts w:ascii="Arial" w:hAnsi="Arial" w:cs="Arial"/>
      <w:sz w:val="22"/>
      <w:szCs w:val="22"/>
    </w:rPr>
  </w:style>
  <w:style w:type="paragraph" w:styleId="Footer">
    <w:name w:val="footer"/>
    <w:basedOn w:val="Normal"/>
    <w:link w:val="FooterChar"/>
    <w:uiPriority w:val="99"/>
    <w:unhideWhenUsed/>
    <w:rsid w:val="00F65742"/>
    <w:pPr>
      <w:tabs>
        <w:tab w:val="center" w:pos="4680"/>
        <w:tab w:val="right" w:pos="9360"/>
      </w:tabs>
    </w:pPr>
  </w:style>
  <w:style w:type="character" w:customStyle="1" w:styleId="FooterChar">
    <w:name w:val="Footer Char"/>
    <w:link w:val="Footer"/>
    <w:uiPriority w:val="99"/>
    <w:rsid w:val="00F65742"/>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cure-media.collegeboard.org/digitalServices/pdf/ap/rubrics-ap-histories-historical-thinking-skills.pdf" TargetMode="External"/><Relationship Id="rId3" Type="http://schemas.openxmlformats.org/officeDocument/2006/relationships/settings" Target="settings.xml"/><Relationship Id="rId7" Type="http://schemas.openxmlformats.org/officeDocument/2006/relationships/hyperlink" Target="http://www.boiseschools.org/UserFiles/Servers/Server_508222/File/Board%20Policies/3000%20Students/32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2267</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MODEL LESSON TEMPLATE</vt:lpstr>
    </vt:vector>
  </TitlesOfParts>
  <Company>Boise School District</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LESSON TEMPLATE</dc:title>
  <dc:subject/>
  <dc:creator>Abdullah</dc:creator>
  <cp:keywords/>
  <dc:description/>
  <cp:lastModifiedBy>Flores, Jackie (jrflores@uidaho.edu)</cp:lastModifiedBy>
  <cp:revision>2</cp:revision>
  <dcterms:created xsi:type="dcterms:W3CDTF">2021-05-25T16:15:00Z</dcterms:created>
  <dcterms:modified xsi:type="dcterms:W3CDTF">2021-05-25T16:15:00Z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